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color w:val="auto"/>
          <w:sz w:val="36"/>
          <w:szCs w:val="36"/>
        </w:rPr>
      </w:pPr>
      <w:r>
        <w:rPr>
          <w:rFonts w:hint="eastAsia" w:ascii="黑体" w:hAnsi="黑体" w:eastAsia="黑体" w:cs="黑体"/>
          <w:color w:val="auto"/>
          <w:sz w:val="36"/>
          <w:szCs w:val="36"/>
        </w:rPr>
        <w:t>吉首大学实验室安全专项工作方案</w:t>
      </w:r>
    </w:p>
    <w:p>
      <w:pPr>
        <w:ind w:firstLine="700" w:firstLineChars="250"/>
        <w:rPr>
          <w:rFonts w:ascii="仿宋" w:hAnsi="仿宋" w:eastAsia="仿宋" w:cs="仿宋"/>
          <w:color w:val="auto"/>
          <w:sz w:val="28"/>
          <w:szCs w:val="28"/>
        </w:rPr>
      </w:pPr>
      <w:r>
        <w:rPr>
          <w:rFonts w:hint="eastAsia" w:ascii="仿宋" w:hAnsi="仿宋" w:eastAsia="仿宋" w:cs="仿宋"/>
          <w:color w:val="auto"/>
          <w:sz w:val="28"/>
          <w:szCs w:val="28"/>
        </w:rPr>
        <w:t>为贯彻落实《教育部办公厅关于立即开展实验室安全检查的紧急通知》（教发厅函[2018]216号）、《关于做好吉首大学2019年寒假放假前实验室安全管理整治专项工作的通知》（吉大办发[2019]1号）要求，现就我校2019年实验室安全专项检查工作分工如下：</w:t>
      </w:r>
      <w:r>
        <w:rPr>
          <w:rFonts w:ascii="仿宋" w:hAnsi="仿宋" w:eastAsia="仿宋" w:cs="仿宋"/>
          <w:color w:val="auto"/>
          <w:sz w:val="28"/>
          <w:szCs w:val="28"/>
        </w:rPr>
        <w:t xml:space="preserve"> </w:t>
      </w:r>
    </w:p>
    <w:tbl>
      <w:tblPr>
        <w:tblStyle w:val="6"/>
        <w:tblW w:w="92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8"/>
        <w:gridCol w:w="6314"/>
        <w:gridCol w:w="1023"/>
        <w:gridCol w:w="1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 w:hRule="atLeast"/>
        </w:trPr>
        <w:tc>
          <w:tcPr>
            <w:tcW w:w="798" w:type="dxa"/>
            <w:vAlign w:val="center"/>
          </w:tcPr>
          <w:p>
            <w:pPr>
              <w:spacing w:line="360" w:lineRule="exact"/>
              <w:jc w:val="center"/>
              <w:rPr>
                <w:rFonts w:ascii="仿宋" w:hAnsi="仿宋" w:eastAsia="仿宋" w:cs="仿宋"/>
                <w:color w:val="auto"/>
                <w:sz w:val="28"/>
                <w:szCs w:val="28"/>
              </w:rPr>
            </w:pPr>
            <w:r>
              <w:rPr>
                <w:rFonts w:hint="eastAsia" w:ascii="仿宋" w:hAnsi="仿宋" w:eastAsia="仿宋" w:cs="仿宋"/>
                <w:color w:val="auto"/>
                <w:sz w:val="28"/>
                <w:szCs w:val="28"/>
              </w:rPr>
              <w:t>时间</w:t>
            </w:r>
          </w:p>
        </w:tc>
        <w:tc>
          <w:tcPr>
            <w:tcW w:w="6314" w:type="dxa"/>
          </w:tcPr>
          <w:p>
            <w:pPr>
              <w:jc w:val="center"/>
              <w:rPr>
                <w:rFonts w:ascii="仿宋" w:hAnsi="仿宋" w:eastAsia="仿宋" w:cs="仿宋"/>
                <w:color w:val="auto"/>
                <w:sz w:val="28"/>
                <w:szCs w:val="28"/>
              </w:rPr>
            </w:pPr>
            <w:r>
              <w:rPr>
                <w:rFonts w:hint="eastAsia" w:ascii="仿宋" w:hAnsi="仿宋" w:eastAsia="仿宋" w:cs="仿宋"/>
                <w:color w:val="auto"/>
                <w:sz w:val="28"/>
                <w:szCs w:val="28"/>
              </w:rPr>
              <w:t>工作内容</w:t>
            </w:r>
          </w:p>
        </w:tc>
        <w:tc>
          <w:tcPr>
            <w:tcW w:w="1023" w:type="dxa"/>
          </w:tcPr>
          <w:p>
            <w:pPr>
              <w:spacing w:line="3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负责</w:t>
            </w:r>
          </w:p>
          <w:p>
            <w:pPr>
              <w:spacing w:line="360" w:lineRule="exact"/>
              <w:jc w:val="center"/>
              <w:rPr>
                <w:rFonts w:ascii="仿宋" w:hAnsi="仿宋" w:eastAsia="仿宋" w:cs="仿宋"/>
                <w:color w:val="auto"/>
                <w:sz w:val="28"/>
                <w:szCs w:val="28"/>
              </w:rPr>
            </w:pPr>
            <w:r>
              <w:rPr>
                <w:rFonts w:hint="eastAsia" w:ascii="仿宋" w:hAnsi="仿宋" w:eastAsia="仿宋" w:cs="仿宋"/>
                <w:color w:val="auto"/>
                <w:sz w:val="28"/>
                <w:szCs w:val="28"/>
              </w:rPr>
              <w:t>单位</w:t>
            </w:r>
          </w:p>
        </w:tc>
        <w:tc>
          <w:tcPr>
            <w:tcW w:w="1079" w:type="dxa"/>
          </w:tcPr>
          <w:p>
            <w:pPr>
              <w:spacing w:line="3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责任</w:t>
            </w:r>
          </w:p>
          <w:p>
            <w:pPr>
              <w:spacing w:line="360" w:lineRule="exact"/>
              <w:jc w:val="center"/>
              <w:rPr>
                <w:rFonts w:ascii="仿宋" w:hAnsi="仿宋" w:eastAsia="仿宋" w:cs="仿宋"/>
                <w:color w:val="auto"/>
                <w:sz w:val="28"/>
                <w:szCs w:val="28"/>
              </w:rPr>
            </w:pPr>
            <w:r>
              <w:rPr>
                <w:rFonts w:hint="eastAsia" w:ascii="仿宋" w:hAnsi="仿宋" w:eastAsia="仿宋" w:cs="仿宋"/>
                <w:color w:val="auto"/>
                <w:sz w:val="28"/>
                <w:szCs w:val="28"/>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7" w:hRule="atLeast"/>
        </w:trPr>
        <w:tc>
          <w:tcPr>
            <w:tcW w:w="798" w:type="dxa"/>
            <w:vMerge w:val="restart"/>
            <w:vAlign w:val="center"/>
          </w:tcPr>
          <w:p>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1月</w:t>
            </w:r>
          </w:p>
          <w:p>
            <w:pPr>
              <w:spacing w:line="320" w:lineRule="exact"/>
              <w:jc w:val="center"/>
              <w:rPr>
                <w:rFonts w:ascii="仿宋" w:hAnsi="仿宋" w:eastAsia="仿宋" w:cs="仿宋"/>
                <w:color w:val="auto"/>
                <w:sz w:val="24"/>
              </w:rPr>
            </w:pPr>
            <w:r>
              <w:rPr>
                <w:rFonts w:hint="eastAsia" w:ascii="仿宋" w:hAnsi="仿宋" w:eastAsia="仿宋" w:cs="仿宋"/>
                <w:color w:val="auto"/>
                <w:sz w:val="24"/>
              </w:rPr>
              <w:t>7日</w:t>
            </w:r>
          </w:p>
          <w:p>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11</w:t>
            </w:r>
            <w:r>
              <w:rPr>
                <w:rFonts w:hint="eastAsia" w:ascii="仿宋" w:hAnsi="仿宋" w:eastAsia="仿宋" w:cs="仿宋"/>
                <w:color w:val="auto"/>
                <w:sz w:val="24"/>
                <w:lang w:eastAsia="zh-CN"/>
              </w:rPr>
              <w:t>：</w:t>
            </w:r>
            <w:r>
              <w:rPr>
                <w:rFonts w:hint="eastAsia" w:ascii="仿宋" w:hAnsi="仿宋" w:eastAsia="仿宋" w:cs="仿宋"/>
                <w:color w:val="auto"/>
                <w:sz w:val="24"/>
                <w:lang w:val="en-US" w:eastAsia="zh-CN"/>
              </w:rPr>
              <w:t>00</w:t>
            </w:r>
            <w:r>
              <w:rPr>
                <w:rFonts w:hint="eastAsia" w:ascii="仿宋" w:hAnsi="仿宋" w:eastAsia="仿宋" w:cs="仿宋"/>
                <w:color w:val="auto"/>
                <w:sz w:val="24"/>
              </w:rPr>
              <w:t>-</w:t>
            </w:r>
          </w:p>
          <w:p>
            <w:pPr>
              <w:spacing w:line="320" w:lineRule="exact"/>
              <w:jc w:val="center"/>
              <w:rPr>
                <w:rFonts w:hint="eastAsia" w:ascii="仿宋" w:hAnsi="仿宋" w:eastAsia="仿宋" w:cs="仿宋"/>
                <w:color w:val="auto"/>
                <w:sz w:val="24"/>
                <w:lang w:val="en-US" w:eastAsia="zh-CN"/>
              </w:rPr>
            </w:pPr>
            <w:r>
              <w:rPr>
                <w:rFonts w:hint="eastAsia" w:ascii="仿宋" w:hAnsi="仿宋" w:eastAsia="仿宋" w:cs="仿宋"/>
                <w:color w:val="auto"/>
                <w:sz w:val="24"/>
              </w:rPr>
              <w:t>17</w:t>
            </w:r>
            <w:r>
              <w:rPr>
                <w:rFonts w:hint="eastAsia" w:ascii="仿宋" w:hAnsi="仿宋" w:eastAsia="仿宋" w:cs="仿宋"/>
                <w:color w:val="auto"/>
                <w:sz w:val="24"/>
                <w:lang w:eastAsia="zh-CN"/>
              </w:rPr>
              <w:t>：</w:t>
            </w:r>
            <w:r>
              <w:rPr>
                <w:rFonts w:hint="eastAsia" w:ascii="仿宋" w:hAnsi="仿宋" w:eastAsia="仿宋" w:cs="仿宋"/>
                <w:color w:val="auto"/>
                <w:sz w:val="24"/>
                <w:lang w:val="en-US" w:eastAsia="zh-CN"/>
              </w:rPr>
              <w:t>00</w:t>
            </w:r>
          </w:p>
        </w:tc>
        <w:tc>
          <w:tcPr>
            <w:tcW w:w="6314" w:type="dxa"/>
          </w:tcPr>
          <w:p>
            <w:pPr>
              <w:numPr>
                <w:ilvl w:val="0"/>
                <w:numId w:val="1"/>
              </w:numPr>
              <w:spacing w:line="320" w:lineRule="exact"/>
              <w:rPr>
                <w:rFonts w:ascii="仿宋" w:hAnsi="仿宋" w:eastAsia="仿宋"/>
                <w:color w:val="auto"/>
                <w:sz w:val="24"/>
              </w:rPr>
            </w:pPr>
            <w:r>
              <w:rPr>
                <w:rFonts w:hint="eastAsia" w:ascii="仿宋" w:hAnsi="仿宋" w:eastAsia="仿宋" w:cs="仿宋"/>
                <w:color w:val="auto"/>
                <w:sz w:val="24"/>
              </w:rPr>
              <w:t>对照《关于做好吉首大学2019年寒假放假前实验室安全管理整治专项工作的通知》第三点整治内容的第一小点做好本单位实验室安全自查自纠工作，</w:t>
            </w:r>
            <w:r>
              <w:rPr>
                <w:rFonts w:hint="eastAsia" w:ascii="仿宋" w:hAnsi="仿宋" w:eastAsia="仿宋" w:cs="仿宋"/>
                <w:color w:val="auto"/>
                <w:sz w:val="24"/>
                <w:lang w:eastAsia="zh-CN"/>
              </w:rPr>
              <w:t>做好本单位实验室清洁卫生工作，</w:t>
            </w:r>
            <w:r>
              <w:rPr>
                <w:rFonts w:hint="eastAsia" w:ascii="仿宋" w:hAnsi="仿宋" w:eastAsia="仿宋" w:cs="仿宋"/>
                <w:color w:val="auto"/>
                <w:sz w:val="24"/>
              </w:rPr>
              <w:t>并准备好以下备查资料：</w:t>
            </w:r>
          </w:p>
          <w:p>
            <w:pPr>
              <w:numPr>
                <w:ilvl w:val="0"/>
                <w:numId w:val="2"/>
              </w:numPr>
              <w:spacing w:line="320" w:lineRule="exact"/>
              <w:rPr>
                <w:rFonts w:ascii="仿宋" w:hAnsi="仿宋" w:eastAsia="仿宋"/>
                <w:color w:val="auto"/>
                <w:sz w:val="24"/>
              </w:rPr>
            </w:pPr>
            <w:r>
              <w:rPr>
                <w:rFonts w:hint="eastAsia" w:ascii="仿宋" w:hAnsi="仿宋" w:eastAsia="仿宋"/>
                <w:color w:val="auto"/>
                <w:sz w:val="24"/>
                <w:lang w:eastAsia="zh-CN"/>
              </w:rPr>
              <w:t>安全</w:t>
            </w:r>
            <w:r>
              <w:rPr>
                <w:rFonts w:hint="eastAsia" w:ascii="仿宋" w:hAnsi="仿宋" w:eastAsia="仿宋"/>
                <w:color w:val="auto"/>
                <w:sz w:val="24"/>
              </w:rPr>
              <w:t>责任书：包括学院与学校签订责任书，学院与实验室签订责任书，实验室与</w:t>
            </w:r>
            <w:r>
              <w:rPr>
                <w:rFonts w:hint="eastAsia" w:ascii="仿宋" w:hAnsi="仿宋" w:eastAsia="仿宋"/>
                <w:color w:val="auto"/>
                <w:sz w:val="24"/>
                <w:lang w:eastAsia="zh-CN"/>
              </w:rPr>
              <w:t>师生</w:t>
            </w:r>
            <w:r>
              <w:rPr>
                <w:rFonts w:hint="eastAsia" w:ascii="仿宋" w:hAnsi="仿宋" w:eastAsia="仿宋"/>
                <w:color w:val="auto"/>
                <w:sz w:val="24"/>
              </w:rPr>
              <w:t>签订责任书。</w:t>
            </w:r>
          </w:p>
          <w:p>
            <w:pPr>
              <w:numPr>
                <w:ilvl w:val="0"/>
                <w:numId w:val="2"/>
              </w:numPr>
              <w:spacing w:line="320" w:lineRule="exact"/>
              <w:rPr>
                <w:rFonts w:ascii="仿宋" w:hAnsi="仿宋" w:eastAsia="仿宋"/>
                <w:color w:val="auto"/>
                <w:sz w:val="24"/>
              </w:rPr>
            </w:pPr>
            <w:r>
              <w:rPr>
                <w:rFonts w:hint="eastAsia" w:ascii="仿宋" w:hAnsi="仿宋" w:eastAsia="仿宋"/>
                <w:color w:val="auto"/>
                <w:sz w:val="24"/>
              </w:rPr>
              <w:t>学院层面的实验室安全责任体系。</w:t>
            </w:r>
          </w:p>
          <w:p>
            <w:pPr>
              <w:numPr>
                <w:ilvl w:val="0"/>
                <w:numId w:val="2"/>
              </w:numPr>
              <w:spacing w:line="320" w:lineRule="exact"/>
              <w:rPr>
                <w:rFonts w:ascii="仿宋" w:hAnsi="仿宋" w:eastAsia="仿宋"/>
                <w:color w:val="auto"/>
                <w:sz w:val="24"/>
              </w:rPr>
            </w:pPr>
            <w:r>
              <w:rPr>
                <w:rFonts w:hint="eastAsia" w:ascii="仿宋" w:hAnsi="仿宋" w:eastAsia="仿宋"/>
                <w:color w:val="auto"/>
                <w:sz w:val="24"/>
              </w:rPr>
              <w:t>学院层面实验室安全管理规章制度、操作规程及应急预案。</w:t>
            </w:r>
          </w:p>
          <w:p>
            <w:pPr>
              <w:numPr>
                <w:ilvl w:val="0"/>
                <w:numId w:val="2"/>
              </w:numPr>
              <w:spacing w:line="320" w:lineRule="exact"/>
              <w:rPr>
                <w:rFonts w:ascii="仿宋" w:hAnsi="仿宋" w:eastAsia="仿宋"/>
                <w:color w:val="auto"/>
                <w:sz w:val="24"/>
              </w:rPr>
            </w:pPr>
            <w:r>
              <w:rPr>
                <w:rFonts w:hint="eastAsia" w:ascii="仿宋" w:hAnsi="仿宋" w:eastAsia="仿宋"/>
                <w:color w:val="auto"/>
                <w:sz w:val="24"/>
              </w:rPr>
              <w:t>学院2018年开展的实验室安全教育工作及实验室准入落实情况。</w:t>
            </w:r>
          </w:p>
          <w:p>
            <w:pPr>
              <w:numPr>
                <w:ilvl w:val="0"/>
                <w:numId w:val="2"/>
              </w:numPr>
              <w:spacing w:line="320" w:lineRule="exact"/>
              <w:rPr>
                <w:rFonts w:hint="eastAsia" w:ascii="仿宋" w:hAnsi="仿宋" w:eastAsia="仿宋"/>
                <w:color w:val="auto"/>
                <w:sz w:val="24"/>
              </w:rPr>
            </w:pPr>
            <w:r>
              <w:rPr>
                <w:rFonts w:hint="eastAsia" w:ascii="仿宋" w:hAnsi="仿宋" w:eastAsia="仿宋"/>
                <w:color w:val="auto"/>
                <w:sz w:val="24"/>
              </w:rPr>
              <w:t>化学试剂、药品管理情况，包括易制毒易制爆化学品购买资质；化学试剂购买、存储、使用、管理、废弃物收集等台账；尤其是实验室中危险爆炸品（如金属钠、金属镁、氧气、氢气、硝铵类化学品等）安全管理，剧毒、易制毒、易制爆试剂采购、储存、使用、废弃物处理等环节。（此项专指化学化工学院、生物资源与环境科学学院、物理与机电工程学院、林产化工重点实验室及理工科科研平台等单位）</w:t>
            </w:r>
          </w:p>
          <w:p>
            <w:pPr>
              <w:numPr>
                <w:ilvl w:val="0"/>
                <w:numId w:val="2"/>
              </w:numPr>
              <w:spacing w:line="320" w:lineRule="exact"/>
              <w:rPr>
                <w:rFonts w:ascii="仿宋" w:hAnsi="仿宋" w:eastAsia="仿宋"/>
                <w:color w:val="auto"/>
                <w:sz w:val="24"/>
              </w:rPr>
            </w:pPr>
            <w:r>
              <w:rPr>
                <w:rFonts w:hint="eastAsia" w:ascii="仿宋" w:hAnsi="仿宋" w:eastAsia="仿宋"/>
                <w:color w:val="auto"/>
                <w:sz w:val="24"/>
              </w:rPr>
              <w:t>生物、动物使用、管理与处置情况，包括生物、动物实验人员资质；生物、动物实验用品购买、使用、处置台账（此项针对有相关实验的学院、科研机构）。</w:t>
            </w:r>
          </w:p>
          <w:p>
            <w:pPr>
              <w:numPr>
                <w:ilvl w:val="0"/>
                <w:numId w:val="2"/>
              </w:numPr>
              <w:spacing w:line="320" w:lineRule="exact"/>
              <w:rPr>
                <w:rFonts w:ascii="仿宋" w:hAnsi="仿宋" w:eastAsia="仿宋"/>
                <w:color w:val="auto"/>
                <w:sz w:val="24"/>
              </w:rPr>
            </w:pPr>
            <w:r>
              <w:rPr>
                <w:rFonts w:hint="eastAsia" w:ascii="仿宋" w:hAnsi="仿宋" w:eastAsia="仿宋"/>
                <w:color w:val="auto"/>
                <w:sz w:val="24"/>
              </w:rPr>
              <w:t>实验室设施安全。包括实验室电路、水路等设施以及相关外部环境、防护设施等排查情况。</w:t>
            </w:r>
          </w:p>
          <w:p>
            <w:pPr>
              <w:numPr>
                <w:ilvl w:val="0"/>
                <w:numId w:val="2"/>
              </w:numPr>
              <w:spacing w:line="320" w:lineRule="exact"/>
              <w:rPr>
                <w:rFonts w:hint="eastAsia" w:ascii="仿宋" w:hAnsi="仿宋" w:eastAsia="仿宋"/>
                <w:color w:val="auto"/>
                <w:sz w:val="24"/>
              </w:rPr>
            </w:pPr>
            <w:r>
              <w:rPr>
                <w:rFonts w:hint="eastAsia" w:ascii="仿宋" w:hAnsi="仿宋" w:eastAsia="仿宋"/>
                <w:color w:val="auto"/>
                <w:sz w:val="24"/>
              </w:rPr>
              <w:t>消防安全。包括消防灭火设备设施、消防通道等安全管理情况。</w:t>
            </w:r>
          </w:p>
          <w:p>
            <w:pPr>
              <w:spacing w:line="320" w:lineRule="exact"/>
              <w:rPr>
                <w:rFonts w:ascii="仿宋" w:hAnsi="仿宋" w:eastAsia="仿宋" w:cs="仿宋"/>
                <w:color w:val="auto"/>
                <w:sz w:val="24"/>
              </w:rPr>
            </w:pPr>
            <w:r>
              <w:rPr>
                <w:rFonts w:hint="eastAsia" w:ascii="仿宋" w:hAnsi="仿宋" w:eastAsia="仿宋"/>
                <w:color w:val="auto"/>
                <w:sz w:val="24"/>
              </w:rPr>
              <w:t>专项整治工作总结和《吉首大学实验室安全检查情况汇总表》</w:t>
            </w:r>
            <w:r>
              <w:rPr>
                <w:rFonts w:hint="eastAsia" w:ascii="仿宋" w:hAnsi="仿宋" w:eastAsia="仿宋"/>
                <w:color w:val="auto"/>
                <w:sz w:val="24"/>
                <w:lang w:eastAsia="zh-CN"/>
              </w:rPr>
              <w:t>经责任单位负责人签字盖章后报送</w:t>
            </w:r>
            <w:r>
              <w:rPr>
                <w:rFonts w:hint="eastAsia" w:ascii="仿宋" w:hAnsi="仿宋" w:eastAsia="仿宋"/>
                <w:color w:val="auto"/>
                <w:sz w:val="24"/>
              </w:rPr>
              <w:t>给相关职能部门（教学实验室材料报实验室与设备管理中心、保卫处；科研实验室材料报送</w:t>
            </w:r>
            <w:r>
              <w:rPr>
                <w:rFonts w:hint="eastAsia" w:ascii="仿宋" w:hAnsi="仿宋" w:eastAsia="仿宋" w:cs="仿宋"/>
                <w:color w:val="auto"/>
                <w:sz w:val="24"/>
              </w:rPr>
              <w:t>科技处、社科处、保卫处</w:t>
            </w:r>
            <w:r>
              <w:rPr>
                <w:rFonts w:hint="eastAsia" w:ascii="仿宋" w:hAnsi="仿宋" w:eastAsia="仿宋"/>
                <w:color w:val="auto"/>
                <w:sz w:val="24"/>
              </w:rPr>
              <w:t>）</w:t>
            </w:r>
          </w:p>
        </w:tc>
        <w:tc>
          <w:tcPr>
            <w:tcW w:w="1023" w:type="dxa"/>
            <w:vAlign w:val="center"/>
          </w:tcPr>
          <w:p>
            <w:pPr>
              <w:spacing w:line="320" w:lineRule="exact"/>
              <w:jc w:val="center"/>
              <w:rPr>
                <w:rFonts w:ascii="仿宋" w:hAnsi="仿宋" w:eastAsia="仿宋" w:cs="仿宋"/>
                <w:color w:val="auto"/>
                <w:sz w:val="24"/>
              </w:rPr>
            </w:pPr>
            <w:r>
              <w:rPr>
                <w:rFonts w:hint="eastAsia" w:ascii="仿宋" w:hAnsi="仿宋" w:eastAsia="仿宋" w:cs="仿宋"/>
                <w:color w:val="auto"/>
                <w:sz w:val="24"/>
              </w:rPr>
              <w:t>各学院及科研机构</w:t>
            </w:r>
          </w:p>
        </w:tc>
        <w:tc>
          <w:tcPr>
            <w:tcW w:w="1079" w:type="dxa"/>
            <w:vAlign w:val="center"/>
          </w:tcPr>
          <w:p>
            <w:pPr>
              <w:spacing w:line="320" w:lineRule="exact"/>
              <w:jc w:val="center"/>
              <w:rPr>
                <w:rFonts w:ascii="仿宋" w:hAnsi="仿宋" w:eastAsia="仿宋" w:cs="仿宋"/>
                <w:color w:val="auto"/>
                <w:sz w:val="24"/>
              </w:rPr>
            </w:pPr>
            <w:r>
              <w:rPr>
                <w:rFonts w:hint="eastAsia" w:ascii="仿宋" w:hAnsi="仿宋" w:eastAsia="仿宋" w:cs="仿宋"/>
                <w:color w:val="auto"/>
                <w:sz w:val="24"/>
              </w:rPr>
              <w:t>各</w:t>
            </w:r>
            <w:r>
              <w:rPr>
                <w:rFonts w:hint="eastAsia" w:ascii="仿宋" w:hAnsi="仿宋" w:eastAsia="仿宋" w:cs="仿宋"/>
                <w:color w:val="auto"/>
                <w:sz w:val="24"/>
                <w:lang w:eastAsia="zh-CN"/>
              </w:rPr>
              <w:t>单位</w:t>
            </w:r>
            <w:r>
              <w:rPr>
                <w:rFonts w:hint="eastAsia" w:ascii="仿宋" w:hAnsi="仿宋" w:eastAsia="仿宋" w:cs="仿宋"/>
                <w:color w:val="auto"/>
                <w:sz w:val="24"/>
              </w:rPr>
              <w:t>实验室安全第一责任人（院长、科研机构负责人）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5" w:hRule="atLeast"/>
        </w:trPr>
        <w:tc>
          <w:tcPr>
            <w:tcW w:w="798" w:type="dxa"/>
            <w:vMerge w:val="continue"/>
            <w:vAlign w:val="center"/>
          </w:tcPr>
          <w:p>
            <w:pPr>
              <w:spacing w:line="320" w:lineRule="exact"/>
              <w:jc w:val="center"/>
              <w:rPr>
                <w:rFonts w:ascii="仿宋" w:hAnsi="仿宋" w:eastAsia="仿宋" w:cs="仿宋"/>
                <w:color w:val="auto"/>
                <w:sz w:val="24"/>
              </w:rPr>
            </w:pPr>
          </w:p>
        </w:tc>
        <w:tc>
          <w:tcPr>
            <w:tcW w:w="6314" w:type="dxa"/>
            <w:vMerge w:val="restart"/>
          </w:tcPr>
          <w:p>
            <w:pPr>
              <w:numPr>
                <w:ilvl w:val="0"/>
                <w:numId w:val="1"/>
              </w:numPr>
              <w:spacing w:line="320" w:lineRule="exact"/>
              <w:rPr>
                <w:rFonts w:hint="eastAsia" w:ascii="仿宋" w:hAnsi="仿宋" w:eastAsia="仿宋"/>
                <w:color w:val="auto"/>
                <w:sz w:val="24"/>
              </w:rPr>
            </w:pPr>
            <w:r>
              <w:rPr>
                <w:rFonts w:hint="eastAsia" w:ascii="仿宋" w:hAnsi="仿宋" w:eastAsia="仿宋" w:cs="仿宋"/>
                <w:color w:val="auto"/>
                <w:sz w:val="24"/>
              </w:rPr>
              <w:t>相关职能部门汇总、形成教学、科研单位上报的</w:t>
            </w:r>
            <w:r>
              <w:rPr>
                <w:rFonts w:hint="eastAsia" w:ascii="仿宋" w:hAnsi="仿宋" w:eastAsia="仿宋"/>
                <w:color w:val="auto"/>
                <w:sz w:val="24"/>
              </w:rPr>
              <w:t>专项整治工作总结；</w:t>
            </w:r>
            <w:r>
              <w:rPr>
                <w:rFonts w:hint="eastAsia" w:ascii="仿宋" w:hAnsi="仿宋" w:eastAsia="仿宋" w:cs="仿宋"/>
                <w:color w:val="auto"/>
                <w:sz w:val="24"/>
              </w:rPr>
              <w:t>备案</w:t>
            </w:r>
            <w:r>
              <w:rPr>
                <w:rFonts w:hint="eastAsia" w:ascii="仿宋" w:hAnsi="仿宋" w:eastAsia="仿宋"/>
                <w:color w:val="auto"/>
                <w:sz w:val="24"/>
              </w:rPr>
              <w:t>《吉首大学实验室安全检查情况汇总表》</w:t>
            </w:r>
          </w:p>
          <w:p>
            <w:pPr>
              <w:spacing w:line="320" w:lineRule="exact"/>
              <w:rPr>
                <w:rFonts w:hint="eastAsia" w:ascii="仿宋" w:hAnsi="仿宋" w:eastAsia="仿宋"/>
                <w:color w:val="auto"/>
                <w:sz w:val="24"/>
              </w:rPr>
            </w:pPr>
            <w:r>
              <w:rPr>
                <w:rFonts w:hint="eastAsia" w:ascii="仿宋" w:hAnsi="仿宋" w:eastAsia="仿宋"/>
                <w:color w:val="auto"/>
                <w:sz w:val="24"/>
              </w:rPr>
              <w:t>（1）实验室与设备管理中心</w:t>
            </w:r>
            <w:r>
              <w:rPr>
                <w:rFonts w:hint="eastAsia" w:ascii="仿宋" w:hAnsi="仿宋" w:eastAsia="仿宋"/>
                <w:color w:val="auto"/>
                <w:sz w:val="24"/>
                <w:lang w:eastAsia="zh-CN"/>
              </w:rPr>
              <w:t>：</w:t>
            </w:r>
            <w:r>
              <w:rPr>
                <w:rFonts w:hint="eastAsia" w:ascii="仿宋" w:hAnsi="仿宋" w:eastAsia="仿宋"/>
                <w:color w:val="auto"/>
                <w:sz w:val="24"/>
              </w:rPr>
              <w:t>完成教学实验室总结和教学实验室《吉首大学实验室安全检查情况汇总表》，形成全校总结、汇总全校安全检查表。</w:t>
            </w:r>
          </w:p>
          <w:p>
            <w:pPr>
              <w:spacing w:line="320" w:lineRule="exact"/>
              <w:rPr>
                <w:rFonts w:hint="eastAsia" w:ascii="仿宋" w:hAnsi="仿宋" w:eastAsia="仿宋"/>
                <w:color w:val="auto"/>
                <w:sz w:val="24"/>
              </w:rPr>
            </w:pPr>
            <w:r>
              <w:rPr>
                <w:rFonts w:hint="eastAsia" w:ascii="仿宋" w:hAnsi="仿宋" w:eastAsia="仿宋"/>
                <w:color w:val="auto"/>
                <w:sz w:val="24"/>
              </w:rPr>
              <w:t>（2）科技处</w:t>
            </w:r>
            <w:r>
              <w:rPr>
                <w:rFonts w:hint="eastAsia" w:ascii="仿宋" w:hAnsi="仿宋" w:eastAsia="仿宋"/>
                <w:color w:val="auto"/>
                <w:sz w:val="24"/>
                <w:lang w:eastAsia="zh-CN"/>
              </w:rPr>
              <w:t>：</w:t>
            </w:r>
            <w:r>
              <w:rPr>
                <w:rFonts w:hint="eastAsia" w:ascii="仿宋" w:hAnsi="仿宋" w:eastAsia="仿宋"/>
                <w:color w:val="auto"/>
                <w:sz w:val="24"/>
              </w:rPr>
              <w:t>形成理工科科研实验室总结，汇总理工科</w:t>
            </w:r>
            <w:r>
              <w:rPr>
                <w:rFonts w:hint="eastAsia" w:ascii="仿宋" w:hAnsi="仿宋" w:eastAsia="仿宋"/>
                <w:color w:val="auto"/>
                <w:sz w:val="24"/>
                <w:lang w:eastAsia="zh-CN"/>
              </w:rPr>
              <w:t>类</w:t>
            </w:r>
            <w:r>
              <w:rPr>
                <w:rFonts w:hint="eastAsia" w:ascii="仿宋" w:hAnsi="仿宋" w:eastAsia="仿宋"/>
                <w:color w:val="auto"/>
                <w:sz w:val="24"/>
              </w:rPr>
              <w:t>科研</w:t>
            </w:r>
            <w:r>
              <w:rPr>
                <w:rFonts w:hint="eastAsia" w:ascii="仿宋" w:hAnsi="仿宋" w:eastAsia="仿宋"/>
                <w:color w:val="auto"/>
                <w:sz w:val="24"/>
                <w:lang w:eastAsia="zh-CN"/>
              </w:rPr>
              <w:t>平台</w:t>
            </w:r>
            <w:r>
              <w:rPr>
                <w:rFonts w:hint="eastAsia" w:ascii="仿宋" w:hAnsi="仿宋" w:eastAsia="仿宋"/>
                <w:color w:val="auto"/>
                <w:sz w:val="24"/>
              </w:rPr>
              <w:t>《吉首大学实验室安全检查情况汇总表》并备案，上述材料交实验室与设备管理中心。</w:t>
            </w:r>
          </w:p>
          <w:p>
            <w:pPr>
              <w:spacing w:line="320" w:lineRule="exact"/>
              <w:rPr>
                <w:rFonts w:hint="eastAsia" w:ascii="仿宋" w:hAnsi="仿宋" w:eastAsia="仿宋"/>
                <w:color w:val="auto"/>
                <w:sz w:val="24"/>
              </w:rPr>
            </w:pPr>
            <w:r>
              <w:rPr>
                <w:rFonts w:hint="eastAsia" w:ascii="仿宋" w:hAnsi="仿宋" w:eastAsia="仿宋"/>
                <w:color w:val="auto"/>
                <w:sz w:val="24"/>
              </w:rPr>
              <w:t>（3）社科处</w:t>
            </w:r>
            <w:r>
              <w:rPr>
                <w:rFonts w:hint="eastAsia" w:ascii="仿宋" w:hAnsi="仿宋" w:eastAsia="仿宋"/>
                <w:color w:val="auto"/>
                <w:sz w:val="24"/>
                <w:lang w:eastAsia="zh-CN"/>
              </w:rPr>
              <w:t>：</w:t>
            </w:r>
            <w:r>
              <w:rPr>
                <w:rFonts w:hint="eastAsia" w:ascii="仿宋" w:hAnsi="仿宋" w:eastAsia="仿宋"/>
                <w:color w:val="auto"/>
                <w:sz w:val="24"/>
              </w:rPr>
              <w:t>形成文科类科研实验室总结，汇总文科</w:t>
            </w:r>
            <w:r>
              <w:rPr>
                <w:rFonts w:hint="eastAsia" w:ascii="仿宋" w:hAnsi="仿宋" w:eastAsia="仿宋"/>
                <w:color w:val="auto"/>
                <w:sz w:val="24"/>
                <w:lang w:eastAsia="zh-CN"/>
              </w:rPr>
              <w:t>类科研平台</w:t>
            </w:r>
            <w:r>
              <w:rPr>
                <w:rFonts w:hint="eastAsia" w:ascii="仿宋" w:hAnsi="仿宋" w:eastAsia="仿宋"/>
                <w:color w:val="auto"/>
                <w:sz w:val="24"/>
              </w:rPr>
              <w:t>《吉首大学实验室安全检查情况汇总表》，上述材料交实验室与设备管理中心。</w:t>
            </w:r>
          </w:p>
          <w:p>
            <w:pPr>
              <w:spacing w:line="320" w:lineRule="exact"/>
              <w:rPr>
                <w:rFonts w:ascii="仿宋" w:hAnsi="仿宋" w:eastAsia="仿宋"/>
                <w:color w:val="auto"/>
                <w:sz w:val="24"/>
              </w:rPr>
            </w:pPr>
            <w:r>
              <w:rPr>
                <w:rFonts w:hint="eastAsia" w:ascii="仿宋" w:hAnsi="仿宋" w:eastAsia="仿宋"/>
                <w:color w:val="auto"/>
                <w:sz w:val="24"/>
              </w:rPr>
              <w:t>（4）保卫处备案学校整体实验室安全总结和《吉首大学实验室安全检查情况汇总表》。</w:t>
            </w:r>
          </w:p>
        </w:tc>
        <w:tc>
          <w:tcPr>
            <w:tcW w:w="1023" w:type="dxa"/>
            <w:vAlign w:val="center"/>
          </w:tcPr>
          <w:p>
            <w:pPr>
              <w:spacing w:line="320" w:lineRule="exact"/>
              <w:jc w:val="both"/>
              <w:rPr>
                <w:rFonts w:ascii="仿宋" w:hAnsi="仿宋" w:eastAsia="仿宋" w:cs="仿宋"/>
                <w:color w:val="auto"/>
                <w:sz w:val="24"/>
              </w:rPr>
            </w:pPr>
            <w:r>
              <w:rPr>
                <w:rFonts w:hint="eastAsia" w:ascii="仿宋" w:hAnsi="仿宋" w:eastAsia="仿宋" w:cs="仿宋"/>
                <w:color w:val="auto"/>
                <w:sz w:val="24"/>
              </w:rPr>
              <w:t>实验室与设备管理中心</w:t>
            </w:r>
          </w:p>
        </w:tc>
        <w:tc>
          <w:tcPr>
            <w:tcW w:w="1079" w:type="dxa"/>
            <w:vAlign w:val="center"/>
          </w:tcPr>
          <w:p>
            <w:pPr>
              <w:spacing w:line="320" w:lineRule="exact"/>
              <w:jc w:val="both"/>
              <w:rPr>
                <w:rFonts w:ascii="仿宋" w:hAnsi="仿宋" w:eastAsia="仿宋" w:cs="仿宋"/>
                <w:color w:val="auto"/>
                <w:sz w:val="24"/>
              </w:rPr>
            </w:pPr>
            <w:r>
              <w:rPr>
                <w:rFonts w:hint="eastAsia" w:ascii="仿宋" w:hAnsi="仿宋" w:eastAsia="仿宋" w:cs="仿宋"/>
                <w:color w:val="auto"/>
                <w:sz w:val="24"/>
              </w:rPr>
              <w:t>李建锋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6" w:hRule="atLeast"/>
        </w:trPr>
        <w:tc>
          <w:tcPr>
            <w:tcW w:w="798" w:type="dxa"/>
            <w:vMerge w:val="continue"/>
            <w:vAlign w:val="center"/>
          </w:tcPr>
          <w:p>
            <w:pPr>
              <w:spacing w:line="320" w:lineRule="exact"/>
              <w:jc w:val="center"/>
              <w:rPr>
                <w:rFonts w:ascii="仿宋" w:hAnsi="仿宋" w:eastAsia="仿宋" w:cs="仿宋"/>
                <w:color w:val="auto"/>
                <w:sz w:val="24"/>
              </w:rPr>
            </w:pPr>
          </w:p>
        </w:tc>
        <w:tc>
          <w:tcPr>
            <w:tcW w:w="6314" w:type="dxa"/>
            <w:vMerge w:val="continue"/>
          </w:tcPr>
          <w:p>
            <w:pPr>
              <w:spacing w:line="320" w:lineRule="exact"/>
              <w:rPr>
                <w:rFonts w:hint="eastAsia" w:ascii="仿宋" w:hAnsi="仿宋" w:eastAsia="仿宋"/>
                <w:color w:val="auto"/>
                <w:sz w:val="24"/>
              </w:rPr>
            </w:pPr>
          </w:p>
        </w:tc>
        <w:tc>
          <w:tcPr>
            <w:tcW w:w="1023" w:type="dxa"/>
            <w:vAlign w:val="center"/>
          </w:tcPr>
          <w:p>
            <w:pPr>
              <w:spacing w:line="320" w:lineRule="exact"/>
              <w:jc w:val="both"/>
              <w:rPr>
                <w:rFonts w:hint="eastAsia" w:ascii="仿宋" w:hAnsi="仿宋" w:eastAsia="仿宋" w:cs="仿宋"/>
                <w:color w:val="auto"/>
                <w:sz w:val="24"/>
              </w:rPr>
            </w:pPr>
            <w:r>
              <w:rPr>
                <w:rFonts w:hint="eastAsia" w:ascii="仿宋" w:hAnsi="仿宋" w:eastAsia="仿宋" w:cs="仿宋"/>
                <w:color w:val="auto"/>
                <w:sz w:val="24"/>
              </w:rPr>
              <w:t>科技处</w:t>
            </w:r>
          </w:p>
        </w:tc>
        <w:tc>
          <w:tcPr>
            <w:tcW w:w="1079" w:type="dxa"/>
            <w:vAlign w:val="center"/>
          </w:tcPr>
          <w:p>
            <w:pPr>
              <w:spacing w:line="320" w:lineRule="exact"/>
              <w:jc w:val="both"/>
              <w:rPr>
                <w:rFonts w:ascii="仿宋" w:hAnsi="仿宋" w:eastAsia="仿宋" w:cs="仿宋"/>
                <w:color w:val="auto"/>
                <w:sz w:val="24"/>
              </w:rPr>
            </w:pPr>
            <w:r>
              <w:rPr>
                <w:rFonts w:hint="eastAsia" w:ascii="仿宋" w:hAnsi="仿宋" w:eastAsia="仿宋" w:cs="仿宋"/>
                <w:color w:val="auto"/>
                <w:sz w:val="24"/>
              </w:rPr>
              <w:t>傅伟昌</w:t>
            </w:r>
          </w:p>
          <w:p>
            <w:pPr>
              <w:spacing w:line="320" w:lineRule="exact"/>
              <w:jc w:val="both"/>
              <w:rPr>
                <w:rFonts w:hint="eastAsia" w:ascii="仿宋" w:hAnsi="仿宋" w:eastAsia="仿宋" w:cs="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798" w:type="dxa"/>
            <w:vMerge w:val="continue"/>
            <w:vAlign w:val="center"/>
          </w:tcPr>
          <w:p>
            <w:pPr>
              <w:spacing w:line="320" w:lineRule="exact"/>
              <w:jc w:val="center"/>
              <w:rPr>
                <w:rFonts w:ascii="仿宋" w:hAnsi="仿宋" w:eastAsia="仿宋" w:cs="仿宋"/>
                <w:color w:val="auto"/>
                <w:sz w:val="24"/>
              </w:rPr>
            </w:pPr>
          </w:p>
        </w:tc>
        <w:tc>
          <w:tcPr>
            <w:tcW w:w="6314" w:type="dxa"/>
            <w:vMerge w:val="continue"/>
          </w:tcPr>
          <w:p>
            <w:pPr>
              <w:spacing w:line="320" w:lineRule="exact"/>
              <w:rPr>
                <w:rFonts w:hint="eastAsia" w:ascii="仿宋" w:hAnsi="仿宋" w:eastAsia="仿宋"/>
                <w:color w:val="auto"/>
                <w:sz w:val="24"/>
              </w:rPr>
            </w:pPr>
          </w:p>
        </w:tc>
        <w:tc>
          <w:tcPr>
            <w:tcW w:w="1023" w:type="dxa"/>
            <w:vAlign w:val="center"/>
          </w:tcPr>
          <w:p>
            <w:pPr>
              <w:spacing w:line="320" w:lineRule="exact"/>
              <w:jc w:val="both"/>
              <w:rPr>
                <w:rFonts w:ascii="仿宋" w:hAnsi="仿宋" w:eastAsia="仿宋" w:cs="仿宋"/>
                <w:color w:val="auto"/>
                <w:sz w:val="24"/>
              </w:rPr>
            </w:pPr>
            <w:r>
              <w:rPr>
                <w:rFonts w:hint="eastAsia" w:ascii="仿宋" w:hAnsi="仿宋" w:eastAsia="仿宋" w:cs="仿宋"/>
                <w:color w:val="auto"/>
                <w:sz w:val="24"/>
              </w:rPr>
              <w:t>社科处</w:t>
            </w:r>
          </w:p>
          <w:p>
            <w:pPr>
              <w:spacing w:line="320" w:lineRule="exact"/>
              <w:jc w:val="both"/>
              <w:rPr>
                <w:rFonts w:hint="eastAsia" w:ascii="仿宋" w:hAnsi="仿宋" w:eastAsia="仿宋" w:cs="仿宋"/>
                <w:color w:val="auto"/>
                <w:sz w:val="24"/>
              </w:rPr>
            </w:pPr>
          </w:p>
        </w:tc>
        <w:tc>
          <w:tcPr>
            <w:tcW w:w="1079" w:type="dxa"/>
            <w:vAlign w:val="center"/>
          </w:tcPr>
          <w:p>
            <w:pPr>
              <w:spacing w:line="320" w:lineRule="exact"/>
              <w:jc w:val="both"/>
              <w:rPr>
                <w:rFonts w:ascii="仿宋" w:hAnsi="仿宋" w:eastAsia="仿宋" w:cs="仿宋"/>
                <w:color w:val="auto"/>
                <w:sz w:val="24"/>
              </w:rPr>
            </w:pPr>
            <w:r>
              <w:rPr>
                <w:rFonts w:hint="eastAsia" w:ascii="仿宋" w:hAnsi="仿宋" w:eastAsia="仿宋" w:cs="仿宋"/>
                <w:color w:val="auto"/>
                <w:sz w:val="24"/>
              </w:rPr>
              <w:t>吴晓</w:t>
            </w:r>
          </w:p>
          <w:p>
            <w:pPr>
              <w:spacing w:line="320" w:lineRule="exact"/>
              <w:jc w:val="both"/>
              <w:rPr>
                <w:rFonts w:hint="eastAsia" w:ascii="仿宋" w:hAnsi="仿宋" w:eastAsia="仿宋" w:cs="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9" w:hRule="atLeast"/>
        </w:trPr>
        <w:tc>
          <w:tcPr>
            <w:tcW w:w="798" w:type="dxa"/>
            <w:vMerge w:val="continue"/>
            <w:vAlign w:val="center"/>
          </w:tcPr>
          <w:p>
            <w:pPr>
              <w:spacing w:line="320" w:lineRule="exact"/>
              <w:jc w:val="center"/>
              <w:rPr>
                <w:rFonts w:ascii="仿宋" w:hAnsi="仿宋" w:eastAsia="仿宋" w:cs="仿宋"/>
                <w:color w:val="auto"/>
                <w:sz w:val="24"/>
              </w:rPr>
            </w:pPr>
          </w:p>
        </w:tc>
        <w:tc>
          <w:tcPr>
            <w:tcW w:w="6314" w:type="dxa"/>
            <w:vMerge w:val="continue"/>
          </w:tcPr>
          <w:p>
            <w:pPr>
              <w:spacing w:line="320" w:lineRule="exact"/>
              <w:rPr>
                <w:rFonts w:hint="eastAsia" w:ascii="仿宋" w:hAnsi="仿宋" w:eastAsia="仿宋"/>
                <w:color w:val="auto"/>
                <w:sz w:val="24"/>
              </w:rPr>
            </w:pPr>
          </w:p>
        </w:tc>
        <w:tc>
          <w:tcPr>
            <w:tcW w:w="1023" w:type="dxa"/>
            <w:vAlign w:val="center"/>
          </w:tcPr>
          <w:p>
            <w:pPr>
              <w:spacing w:line="320" w:lineRule="exact"/>
              <w:jc w:val="both"/>
              <w:rPr>
                <w:rFonts w:hint="eastAsia" w:ascii="仿宋" w:hAnsi="仿宋" w:eastAsia="仿宋" w:cs="仿宋"/>
                <w:color w:val="auto"/>
                <w:sz w:val="24"/>
              </w:rPr>
            </w:pPr>
            <w:r>
              <w:rPr>
                <w:rFonts w:hint="eastAsia" w:ascii="仿宋" w:hAnsi="仿宋" w:eastAsia="仿宋" w:cs="仿宋"/>
                <w:color w:val="auto"/>
                <w:sz w:val="24"/>
              </w:rPr>
              <w:t>保卫处</w:t>
            </w:r>
          </w:p>
        </w:tc>
        <w:tc>
          <w:tcPr>
            <w:tcW w:w="1079" w:type="dxa"/>
            <w:vAlign w:val="center"/>
          </w:tcPr>
          <w:p>
            <w:pPr>
              <w:spacing w:line="320" w:lineRule="exact"/>
              <w:jc w:val="both"/>
              <w:rPr>
                <w:rFonts w:hint="eastAsia" w:ascii="仿宋" w:hAnsi="仿宋" w:eastAsia="仿宋" w:cs="仿宋"/>
                <w:color w:val="auto"/>
                <w:sz w:val="24"/>
              </w:rPr>
            </w:pPr>
            <w:r>
              <w:rPr>
                <w:rFonts w:hint="eastAsia" w:ascii="仿宋" w:hAnsi="仿宋" w:eastAsia="仿宋" w:cs="仿宋"/>
                <w:color w:val="auto"/>
                <w:sz w:val="24"/>
              </w:rPr>
              <w:t>毛政伟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8" w:hRule="atLeast"/>
        </w:trPr>
        <w:tc>
          <w:tcPr>
            <w:tcW w:w="798" w:type="dxa"/>
            <w:vMerge w:val="continue"/>
            <w:vAlign w:val="center"/>
          </w:tcPr>
          <w:p>
            <w:pPr>
              <w:spacing w:line="320" w:lineRule="exact"/>
              <w:jc w:val="center"/>
              <w:rPr>
                <w:rFonts w:ascii="仿宋" w:hAnsi="仿宋" w:eastAsia="仿宋" w:cs="仿宋"/>
                <w:color w:val="auto"/>
                <w:sz w:val="24"/>
              </w:rPr>
            </w:pPr>
          </w:p>
        </w:tc>
        <w:tc>
          <w:tcPr>
            <w:tcW w:w="6314" w:type="dxa"/>
            <w:vMerge w:val="restart"/>
            <w:vAlign w:val="center"/>
          </w:tcPr>
          <w:p>
            <w:pPr>
              <w:numPr>
                <w:ilvl w:val="0"/>
                <w:numId w:val="1"/>
              </w:numPr>
              <w:spacing w:line="320" w:lineRule="exact"/>
              <w:jc w:val="both"/>
              <w:rPr>
                <w:rFonts w:ascii="仿宋" w:hAnsi="仿宋" w:eastAsia="仿宋"/>
                <w:color w:val="auto"/>
                <w:sz w:val="24"/>
              </w:rPr>
            </w:pPr>
            <w:r>
              <w:rPr>
                <w:rFonts w:hint="eastAsia" w:ascii="仿宋" w:hAnsi="仿宋" w:eastAsia="仿宋"/>
                <w:color w:val="auto"/>
                <w:sz w:val="24"/>
              </w:rPr>
              <w:t>化学化工学院、生物资源与环境科学学院提供易制毒易制爆资质相关支撑材料报送实验室与设备管理中心。</w:t>
            </w:r>
          </w:p>
        </w:tc>
        <w:tc>
          <w:tcPr>
            <w:tcW w:w="1023" w:type="dxa"/>
            <w:vAlign w:val="center"/>
          </w:tcPr>
          <w:p>
            <w:pPr>
              <w:spacing w:line="320" w:lineRule="exact"/>
              <w:jc w:val="center"/>
              <w:rPr>
                <w:rFonts w:ascii="仿宋" w:hAnsi="仿宋" w:eastAsia="仿宋" w:cs="仿宋"/>
                <w:color w:val="auto"/>
                <w:sz w:val="24"/>
              </w:rPr>
            </w:pPr>
            <w:r>
              <w:rPr>
                <w:rFonts w:hint="eastAsia" w:ascii="仿宋" w:hAnsi="仿宋" w:eastAsia="仿宋"/>
                <w:color w:val="auto"/>
                <w:sz w:val="24"/>
              </w:rPr>
              <w:t>化学化工学院</w:t>
            </w:r>
          </w:p>
        </w:tc>
        <w:tc>
          <w:tcPr>
            <w:tcW w:w="1079" w:type="dxa"/>
            <w:vAlign w:val="center"/>
          </w:tcPr>
          <w:p>
            <w:pPr>
              <w:spacing w:line="320" w:lineRule="exact"/>
              <w:jc w:val="center"/>
              <w:rPr>
                <w:rFonts w:ascii="仿宋" w:hAnsi="仿宋" w:eastAsia="仿宋" w:cs="仿宋"/>
                <w:color w:val="auto"/>
                <w:sz w:val="24"/>
              </w:rPr>
            </w:pPr>
            <w:r>
              <w:rPr>
                <w:rFonts w:hint="eastAsia" w:ascii="仿宋" w:hAnsi="仿宋" w:eastAsia="仿宋" w:cs="仿宋"/>
                <w:color w:val="auto"/>
                <w:sz w:val="24"/>
              </w:rPr>
              <w:t>李佑稷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trPr>
        <w:tc>
          <w:tcPr>
            <w:tcW w:w="798" w:type="dxa"/>
            <w:vMerge w:val="continue"/>
            <w:vAlign w:val="center"/>
          </w:tcPr>
          <w:p>
            <w:pPr>
              <w:spacing w:line="320" w:lineRule="exact"/>
              <w:jc w:val="center"/>
              <w:rPr>
                <w:rFonts w:ascii="仿宋" w:hAnsi="仿宋" w:eastAsia="仿宋" w:cs="仿宋"/>
                <w:color w:val="auto"/>
                <w:sz w:val="24"/>
              </w:rPr>
            </w:pPr>
          </w:p>
        </w:tc>
        <w:tc>
          <w:tcPr>
            <w:tcW w:w="6314" w:type="dxa"/>
            <w:vMerge w:val="continue"/>
            <w:vAlign w:val="center"/>
          </w:tcPr>
          <w:p>
            <w:pPr>
              <w:numPr>
                <w:ilvl w:val="0"/>
                <w:numId w:val="1"/>
              </w:numPr>
              <w:spacing w:line="320" w:lineRule="exact"/>
              <w:jc w:val="both"/>
              <w:rPr>
                <w:rFonts w:hint="eastAsia" w:ascii="仿宋" w:hAnsi="仿宋" w:eastAsia="仿宋"/>
                <w:color w:val="auto"/>
                <w:sz w:val="24"/>
              </w:rPr>
            </w:pPr>
          </w:p>
        </w:tc>
        <w:tc>
          <w:tcPr>
            <w:tcW w:w="1023" w:type="dxa"/>
            <w:vAlign w:val="center"/>
          </w:tcPr>
          <w:p>
            <w:pPr>
              <w:spacing w:line="320" w:lineRule="exact"/>
              <w:jc w:val="center"/>
              <w:rPr>
                <w:rFonts w:hint="eastAsia" w:ascii="仿宋" w:hAnsi="仿宋" w:eastAsia="仿宋" w:cs="仿宋"/>
                <w:color w:val="auto"/>
                <w:sz w:val="24"/>
              </w:rPr>
            </w:pPr>
            <w:r>
              <w:rPr>
                <w:rFonts w:hint="eastAsia" w:ascii="仿宋" w:hAnsi="仿宋" w:eastAsia="仿宋"/>
                <w:color w:val="auto"/>
                <w:sz w:val="24"/>
              </w:rPr>
              <w:t>生物资源与环境科学学院</w:t>
            </w:r>
          </w:p>
        </w:tc>
        <w:tc>
          <w:tcPr>
            <w:tcW w:w="1079" w:type="dxa"/>
            <w:vAlign w:val="center"/>
          </w:tcPr>
          <w:p>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陈义光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9" w:hRule="atLeast"/>
        </w:trPr>
        <w:tc>
          <w:tcPr>
            <w:tcW w:w="798" w:type="dxa"/>
            <w:vMerge w:val="continue"/>
            <w:vAlign w:val="center"/>
          </w:tcPr>
          <w:p>
            <w:pPr>
              <w:spacing w:line="320" w:lineRule="exact"/>
              <w:jc w:val="center"/>
              <w:rPr>
                <w:rFonts w:ascii="仿宋" w:hAnsi="仿宋" w:eastAsia="仿宋" w:cs="仿宋"/>
                <w:color w:val="auto"/>
                <w:sz w:val="24"/>
              </w:rPr>
            </w:pPr>
          </w:p>
        </w:tc>
        <w:tc>
          <w:tcPr>
            <w:tcW w:w="6314" w:type="dxa"/>
            <w:vMerge w:val="continue"/>
            <w:vAlign w:val="center"/>
          </w:tcPr>
          <w:p>
            <w:pPr>
              <w:numPr>
                <w:ilvl w:val="0"/>
                <w:numId w:val="1"/>
              </w:numPr>
              <w:spacing w:line="320" w:lineRule="exact"/>
              <w:jc w:val="both"/>
              <w:rPr>
                <w:rFonts w:hint="eastAsia" w:ascii="仿宋" w:hAnsi="仿宋" w:eastAsia="仿宋"/>
                <w:color w:val="auto"/>
                <w:sz w:val="24"/>
              </w:rPr>
            </w:pPr>
          </w:p>
        </w:tc>
        <w:tc>
          <w:tcPr>
            <w:tcW w:w="1023" w:type="dxa"/>
            <w:vAlign w:val="center"/>
          </w:tcPr>
          <w:p>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实验室与设备管理中心</w:t>
            </w:r>
          </w:p>
        </w:tc>
        <w:tc>
          <w:tcPr>
            <w:tcW w:w="1079" w:type="dxa"/>
            <w:vAlign w:val="center"/>
          </w:tcPr>
          <w:p>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陈斌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4" w:hRule="atLeast"/>
        </w:trPr>
        <w:tc>
          <w:tcPr>
            <w:tcW w:w="798" w:type="dxa"/>
            <w:vMerge w:val="continue"/>
            <w:vAlign w:val="center"/>
          </w:tcPr>
          <w:p>
            <w:pPr>
              <w:spacing w:line="320" w:lineRule="exact"/>
              <w:jc w:val="center"/>
              <w:rPr>
                <w:rFonts w:ascii="仿宋" w:hAnsi="仿宋" w:eastAsia="仿宋" w:cs="仿宋"/>
                <w:color w:val="auto"/>
                <w:sz w:val="24"/>
              </w:rPr>
            </w:pPr>
          </w:p>
        </w:tc>
        <w:tc>
          <w:tcPr>
            <w:tcW w:w="6314" w:type="dxa"/>
            <w:vMerge w:val="restart"/>
            <w:vAlign w:val="center"/>
          </w:tcPr>
          <w:p>
            <w:pPr>
              <w:numPr>
                <w:ilvl w:val="0"/>
                <w:numId w:val="1"/>
              </w:numPr>
              <w:spacing w:line="320" w:lineRule="exact"/>
              <w:jc w:val="both"/>
              <w:rPr>
                <w:rFonts w:ascii="仿宋" w:hAnsi="仿宋" w:eastAsia="仿宋"/>
                <w:color w:val="auto"/>
                <w:sz w:val="24"/>
              </w:rPr>
            </w:pPr>
            <w:r>
              <w:rPr>
                <w:rFonts w:hint="eastAsia" w:ascii="仿宋" w:hAnsi="仿宋" w:eastAsia="仿宋"/>
                <w:color w:val="auto"/>
                <w:sz w:val="24"/>
              </w:rPr>
              <w:t>化学化工学院、生物资源与环境科学学院、医学院、物理与机电工程学院、林产化工重点实验室提供有害品管理、废弃物处置等台账报送实验室与设备管理中心。</w:t>
            </w:r>
          </w:p>
        </w:tc>
        <w:tc>
          <w:tcPr>
            <w:tcW w:w="1023" w:type="dxa"/>
            <w:vAlign w:val="center"/>
          </w:tcPr>
          <w:p>
            <w:pPr>
              <w:spacing w:line="320" w:lineRule="exact"/>
              <w:jc w:val="both"/>
              <w:rPr>
                <w:rFonts w:ascii="仿宋" w:hAnsi="仿宋" w:eastAsia="仿宋" w:cs="仿宋"/>
                <w:color w:val="auto"/>
                <w:sz w:val="24"/>
              </w:rPr>
            </w:pPr>
            <w:r>
              <w:rPr>
                <w:rFonts w:hint="eastAsia" w:ascii="仿宋" w:hAnsi="仿宋" w:eastAsia="仿宋"/>
                <w:color w:val="auto"/>
                <w:sz w:val="24"/>
              </w:rPr>
              <w:t>化学化工学院</w:t>
            </w:r>
          </w:p>
        </w:tc>
        <w:tc>
          <w:tcPr>
            <w:tcW w:w="1079" w:type="dxa"/>
            <w:vAlign w:val="center"/>
          </w:tcPr>
          <w:p>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李佑稷</w:t>
            </w:r>
          </w:p>
          <w:p>
            <w:pPr>
              <w:spacing w:line="320" w:lineRule="exact"/>
              <w:jc w:val="center"/>
              <w:rPr>
                <w:rFonts w:ascii="仿宋" w:hAnsi="仿宋" w:eastAsia="仿宋" w:cs="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1" w:hRule="atLeast"/>
        </w:trPr>
        <w:tc>
          <w:tcPr>
            <w:tcW w:w="798" w:type="dxa"/>
            <w:vMerge w:val="continue"/>
            <w:vAlign w:val="center"/>
          </w:tcPr>
          <w:p>
            <w:pPr>
              <w:spacing w:line="320" w:lineRule="exact"/>
              <w:jc w:val="center"/>
              <w:rPr>
                <w:rFonts w:ascii="仿宋" w:hAnsi="仿宋" w:eastAsia="仿宋" w:cs="仿宋"/>
                <w:color w:val="auto"/>
                <w:sz w:val="24"/>
              </w:rPr>
            </w:pPr>
          </w:p>
        </w:tc>
        <w:tc>
          <w:tcPr>
            <w:tcW w:w="6314" w:type="dxa"/>
            <w:vMerge w:val="continue"/>
            <w:vAlign w:val="center"/>
          </w:tcPr>
          <w:p>
            <w:pPr>
              <w:numPr>
                <w:ilvl w:val="0"/>
                <w:numId w:val="1"/>
              </w:numPr>
              <w:spacing w:line="320" w:lineRule="exact"/>
              <w:jc w:val="both"/>
              <w:rPr>
                <w:rFonts w:hint="eastAsia" w:ascii="仿宋" w:hAnsi="仿宋" w:eastAsia="仿宋"/>
                <w:color w:val="auto"/>
                <w:sz w:val="24"/>
              </w:rPr>
            </w:pPr>
          </w:p>
        </w:tc>
        <w:tc>
          <w:tcPr>
            <w:tcW w:w="1023" w:type="dxa"/>
            <w:vAlign w:val="center"/>
          </w:tcPr>
          <w:p>
            <w:pPr>
              <w:spacing w:line="320" w:lineRule="exact"/>
              <w:jc w:val="both"/>
              <w:rPr>
                <w:rFonts w:hint="eastAsia" w:ascii="仿宋" w:hAnsi="仿宋" w:eastAsia="仿宋" w:cs="仿宋"/>
                <w:color w:val="auto"/>
                <w:sz w:val="24"/>
              </w:rPr>
            </w:pPr>
            <w:r>
              <w:rPr>
                <w:rFonts w:hint="eastAsia" w:ascii="仿宋" w:hAnsi="仿宋" w:eastAsia="仿宋"/>
                <w:color w:val="auto"/>
                <w:sz w:val="24"/>
              </w:rPr>
              <w:t>生物资源与环境科学学院</w:t>
            </w:r>
          </w:p>
        </w:tc>
        <w:tc>
          <w:tcPr>
            <w:tcW w:w="1079" w:type="dxa"/>
            <w:vAlign w:val="center"/>
          </w:tcPr>
          <w:p>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陈义光</w:t>
            </w:r>
          </w:p>
          <w:p>
            <w:pPr>
              <w:spacing w:line="320" w:lineRule="exact"/>
              <w:jc w:val="center"/>
              <w:rPr>
                <w:rFonts w:hint="eastAsia" w:ascii="仿宋" w:hAnsi="仿宋" w:eastAsia="仿宋" w:cs="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trPr>
        <w:tc>
          <w:tcPr>
            <w:tcW w:w="798" w:type="dxa"/>
            <w:vMerge w:val="continue"/>
            <w:vAlign w:val="center"/>
          </w:tcPr>
          <w:p>
            <w:pPr>
              <w:spacing w:line="320" w:lineRule="exact"/>
              <w:jc w:val="center"/>
              <w:rPr>
                <w:rFonts w:ascii="仿宋" w:hAnsi="仿宋" w:eastAsia="仿宋" w:cs="仿宋"/>
                <w:color w:val="auto"/>
                <w:sz w:val="24"/>
              </w:rPr>
            </w:pPr>
          </w:p>
        </w:tc>
        <w:tc>
          <w:tcPr>
            <w:tcW w:w="6314" w:type="dxa"/>
            <w:vMerge w:val="continue"/>
            <w:vAlign w:val="center"/>
          </w:tcPr>
          <w:p>
            <w:pPr>
              <w:numPr>
                <w:ilvl w:val="0"/>
                <w:numId w:val="1"/>
              </w:numPr>
              <w:spacing w:line="320" w:lineRule="exact"/>
              <w:jc w:val="both"/>
              <w:rPr>
                <w:rFonts w:hint="eastAsia" w:ascii="仿宋" w:hAnsi="仿宋" w:eastAsia="仿宋"/>
                <w:color w:val="auto"/>
                <w:sz w:val="24"/>
              </w:rPr>
            </w:pPr>
          </w:p>
        </w:tc>
        <w:tc>
          <w:tcPr>
            <w:tcW w:w="1023" w:type="dxa"/>
            <w:vAlign w:val="center"/>
          </w:tcPr>
          <w:p>
            <w:pPr>
              <w:spacing w:line="320" w:lineRule="exact"/>
              <w:jc w:val="both"/>
              <w:rPr>
                <w:rFonts w:hint="eastAsia" w:ascii="仿宋" w:hAnsi="仿宋" w:eastAsia="仿宋" w:cs="仿宋"/>
                <w:color w:val="auto"/>
                <w:sz w:val="24"/>
              </w:rPr>
            </w:pPr>
            <w:r>
              <w:rPr>
                <w:rFonts w:hint="eastAsia" w:ascii="仿宋" w:hAnsi="仿宋" w:eastAsia="仿宋"/>
                <w:color w:val="auto"/>
                <w:sz w:val="24"/>
              </w:rPr>
              <w:t>医学院</w:t>
            </w:r>
          </w:p>
        </w:tc>
        <w:tc>
          <w:tcPr>
            <w:tcW w:w="1079" w:type="dxa"/>
            <w:vAlign w:val="center"/>
          </w:tcPr>
          <w:p>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lang w:eastAsia="zh-CN"/>
              </w:rPr>
              <w:t>向志钢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7" w:hRule="atLeast"/>
        </w:trPr>
        <w:tc>
          <w:tcPr>
            <w:tcW w:w="798" w:type="dxa"/>
            <w:vMerge w:val="continue"/>
            <w:vAlign w:val="center"/>
          </w:tcPr>
          <w:p>
            <w:pPr>
              <w:spacing w:line="320" w:lineRule="exact"/>
              <w:jc w:val="center"/>
              <w:rPr>
                <w:rFonts w:ascii="仿宋" w:hAnsi="仿宋" w:eastAsia="仿宋" w:cs="仿宋"/>
                <w:color w:val="auto"/>
                <w:sz w:val="24"/>
              </w:rPr>
            </w:pPr>
          </w:p>
        </w:tc>
        <w:tc>
          <w:tcPr>
            <w:tcW w:w="6314" w:type="dxa"/>
            <w:vMerge w:val="continue"/>
            <w:vAlign w:val="center"/>
          </w:tcPr>
          <w:p>
            <w:pPr>
              <w:numPr>
                <w:ilvl w:val="0"/>
                <w:numId w:val="1"/>
              </w:numPr>
              <w:spacing w:line="320" w:lineRule="exact"/>
              <w:jc w:val="both"/>
              <w:rPr>
                <w:rFonts w:hint="eastAsia" w:ascii="仿宋" w:hAnsi="仿宋" w:eastAsia="仿宋"/>
                <w:color w:val="auto"/>
                <w:sz w:val="24"/>
              </w:rPr>
            </w:pPr>
          </w:p>
        </w:tc>
        <w:tc>
          <w:tcPr>
            <w:tcW w:w="1023" w:type="dxa"/>
            <w:vAlign w:val="center"/>
          </w:tcPr>
          <w:p>
            <w:pPr>
              <w:spacing w:line="320" w:lineRule="exact"/>
              <w:jc w:val="both"/>
              <w:rPr>
                <w:rFonts w:hint="eastAsia" w:ascii="仿宋" w:hAnsi="仿宋" w:eastAsia="仿宋" w:cs="仿宋"/>
                <w:color w:val="auto"/>
                <w:sz w:val="24"/>
              </w:rPr>
            </w:pPr>
            <w:r>
              <w:rPr>
                <w:rFonts w:hint="eastAsia" w:ascii="仿宋" w:hAnsi="仿宋" w:eastAsia="仿宋"/>
                <w:color w:val="auto"/>
                <w:sz w:val="24"/>
              </w:rPr>
              <w:t>物理与机电工程学院</w:t>
            </w:r>
          </w:p>
        </w:tc>
        <w:tc>
          <w:tcPr>
            <w:tcW w:w="1079" w:type="dxa"/>
            <w:vAlign w:val="center"/>
          </w:tcPr>
          <w:p>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lang w:eastAsia="zh-CN"/>
              </w:rPr>
              <w:t>孙晶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5" w:hRule="atLeast"/>
        </w:trPr>
        <w:tc>
          <w:tcPr>
            <w:tcW w:w="798" w:type="dxa"/>
            <w:vMerge w:val="continue"/>
            <w:vAlign w:val="center"/>
          </w:tcPr>
          <w:p>
            <w:pPr>
              <w:spacing w:line="320" w:lineRule="exact"/>
              <w:jc w:val="center"/>
              <w:rPr>
                <w:rFonts w:ascii="仿宋" w:hAnsi="仿宋" w:eastAsia="仿宋" w:cs="仿宋"/>
                <w:color w:val="auto"/>
                <w:sz w:val="24"/>
              </w:rPr>
            </w:pPr>
          </w:p>
        </w:tc>
        <w:tc>
          <w:tcPr>
            <w:tcW w:w="6314" w:type="dxa"/>
            <w:vMerge w:val="continue"/>
            <w:vAlign w:val="center"/>
          </w:tcPr>
          <w:p>
            <w:pPr>
              <w:numPr>
                <w:ilvl w:val="0"/>
                <w:numId w:val="1"/>
              </w:numPr>
              <w:spacing w:line="320" w:lineRule="exact"/>
              <w:jc w:val="both"/>
              <w:rPr>
                <w:rFonts w:hint="eastAsia" w:ascii="仿宋" w:hAnsi="仿宋" w:eastAsia="仿宋"/>
                <w:color w:val="auto"/>
                <w:sz w:val="24"/>
              </w:rPr>
            </w:pPr>
          </w:p>
        </w:tc>
        <w:tc>
          <w:tcPr>
            <w:tcW w:w="1023" w:type="dxa"/>
            <w:vAlign w:val="center"/>
          </w:tcPr>
          <w:p>
            <w:pPr>
              <w:spacing w:line="320" w:lineRule="exact"/>
              <w:jc w:val="both"/>
              <w:rPr>
                <w:rFonts w:hint="eastAsia" w:ascii="仿宋" w:hAnsi="仿宋" w:eastAsia="仿宋" w:cs="仿宋"/>
                <w:color w:val="auto"/>
                <w:sz w:val="24"/>
              </w:rPr>
            </w:pPr>
            <w:r>
              <w:rPr>
                <w:rFonts w:hint="eastAsia" w:ascii="仿宋" w:hAnsi="仿宋" w:eastAsia="仿宋"/>
                <w:color w:val="auto"/>
                <w:sz w:val="24"/>
              </w:rPr>
              <w:t>林产化工重点实验室</w:t>
            </w:r>
          </w:p>
        </w:tc>
        <w:tc>
          <w:tcPr>
            <w:tcW w:w="1079" w:type="dxa"/>
            <w:vAlign w:val="center"/>
          </w:tcPr>
          <w:p>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lang w:eastAsia="zh-CN"/>
              </w:rPr>
              <w:t>宋科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 w:hRule="atLeast"/>
        </w:trPr>
        <w:tc>
          <w:tcPr>
            <w:tcW w:w="798" w:type="dxa"/>
            <w:vMerge w:val="continue"/>
            <w:vAlign w:val="center"/>
          </w:tcPr>
          <w:p>
            <w:pPr>
              <w:spacing w:line="320" w:lineRule="exact"/>
              <w:jc w:val="center"/>
              <w:rPr>
                <w:rFonts w:ascii="仿宋" w:hAnsi="仿宋" w:eastAsia="仿宋" w:cs="仿宋"/>
                <w:color w:val="auto"/>
                <w:sz w:val="24"/>
              </w:rPr>
            </w:pPr>
          </w:p>
        </w:tc>
        <w:tc>
          <w:tcPr>
            <w:tcW w:w="6314" w:type="dxa"/>
            <w:vMerge w:val="continue"/>
            <w:vAlign w:val="center"/>
          </w:tcPr>
          <w:p>
            <w:pPr>
              <w:numPr>
                <w:ilvl w:val="0"/>
                <w:numId w:val="1"/>
              </w:numPr>
              <w:spacing w:line="320" w:lineRule="exact"/>
              <w:jc w:val="both"/>
              <w:rPr>
                <w:rFonts w:hint="eastAsia" w:ascii="仿宋" w:hAnsi="仿宋" w:eastAsia="仿宋"/>
                <w:color w:val="auto"/>
                <w:sz w:val="24"/>
              </w:rPr>
            </w:pPr>
          </w:p>
        </w:tc>
        <w:tc>
          <w:tcPr>
            <w:tcW w:w="1023" w:type="dxa"/>
            <w:vAlign w:val="center"/>
          </w:tcPr>
          <w:p>
            <w:pPr>
              <w:spacing w:line="320" w:lineRule="exact"/>
              <w:jc w:val="both"/>
              <w:rPr>
                <w:rFonts w:hint="eastAsia" w:ascii="仿宋" w:hAnsi="仿宋" w:eastAsia="仿宋" w:cs="仿宋"/>
                <w:color w:val="auto"/>
                <w:sz w:val="24"/>
              </w:rPr>
            </w:pPr>
            <w:r>
              <w:rPr>
                <w:rFonts w:hint="eastAsia" w:ascii="仿宋" w:hAnsi="仿宋" w:eastAsia="仿宋" w:cs="仿宋"/>
                <w:color w:val="auto"/>
                <w:sz w:val="24"/>
              </w:rPr>
              <w:t>实验室</w:t>
            </w:r>
            <w:r>
              <w:rPr>
                <w:rFonts w:hint="eastAsia" w:ascii="仿宋" w:hAnsi="仿宋" w:eastAsia="仿宋" w:cs="仿宋"/>
                <w:color w:val="auto"/>
                <w:sz w:val="24"/>
                <w:szCs w:val="24"/>
              </w:rPr>
              <w:t>与设备管理中心</w:t>
            </w:r>
          </w:p>
        </w:tc>
        <w:tc>
          <w:tcPr>
            <w:tcW w:w="1079" w:type="dxa"/>
            <w:vAlign w:val="center"/>
          </w:tcPr>
          <w:p>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陈斌</w:t>
            </w:r>
          </w:p>
        </w:tc>
      </w:tr>
    </w:tbl>
    <w:p>
      <w:pPr>
        <w:spacing w:line="320" w:lineRule="exact"/>
        <w:rPr>
          <w:rFonts w:hint="eastAsia"/>
          <w:color w:val="auto"/>
          <w:sz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6C0F039"/>
    <w:multiLevelType w:val="singleLevel"/>
    <w:tmpl w:val="C6C0F039"/>
    <w:lvl w:ilvl="0" w:tentative="0">
      <w:start w:val="1"/>
      <w:numFmt w:val="decimal"/>
      <w:suff w:val="nothing"/>
      <w:lvlText w:val="%1、"/>
      <w:lvlJc w:val="left"/>
    </w:lvl>
  </w:abstractNum>
  <w:abstractNum w:abstractNumId="1">
    <w:nsid w:val="4E0DD118"/>
    <w:multiLevelType w:val="singleLevel"/>
    <w:tmpl w:val="4E0DD118"/>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245827"/>
    <w:rsid w:val="000862D6"/>
    <w:rsid w:val="0024481F"/>
    <w:rsid w:val="004A3722"/>
    <w:rsid w:val="00AA6928"/>
    <w:rsid w:val="00C368F7"/>
    <w:rsid w:val="060E7DDA"/>
    <w:rsid w:val="08245827"/>
    <w:rsid w:val="0A4463E6"/>
    <w:rsid w:val="0AC21EEC"/>
    <w:rsid w:val="0B81192E"/>
    <w:rsid w:val="13E32EAA"/>
    <w:rsid w:val="14810948"/>
    <w:rsid w:val="17E210F8"/>
    <w:rsid w:val="17F24DA7"/>
    <w:rsid w:val="1BF335F5"/>
    <w:rsid w:val="23AA3440"/>
    <w:rsid w:val="250224F3"/>
    <w:rsid w:val="2C1358E4"/>
    <w:rsid w:val="2FF6596B"/>
    <w:rsid w:val="34FD0890"/>
    <w:rsid w:val="35025C62"/>
    <w:rsid w:val="358F5365"/>
    <w:rsid w:val="472465BA"/>
    <w:rsid w:val="47AE240D"/>
    <w:rsid w:val="49D151B2"/>
    <w:rsid w:val="53D2674F"/>
    <w:rsid w:val="54F37F30"/>
    <w:rsid w:val="560E1EAE"/>
    <w:rsid w:val="5BBE3AF1"/>
    <w:rsid w:val="5ECD3093"/>
    <w:rsid w:val="61B928CD"/>
    <w:rsid w:val="7B0B5ADA"/>
    <w:rsid w:val="7CFC4E3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4"/>
    <w:link w:val="3"/>
    <w:qFormat/>
    <w:uiPriority w:val="0"/>
    <w:rPr>
      <w:rFonts w:asciiTheme="minorHAnsi" w:hAnsiTheme="minorHAnsi" w:eastAsiaTheme="minorEastAsia" w:cstheme="minorBidi"/>
      <w:kern w:val="2"/>
      <w:sz w:val="18"/>
      <w:szCs w:val="18"/>
    </w:rPr>
  </w:style>
  <w:style w:type="character" w:customStyle="1" w:styleId="8">
    <w:name w:val="页脚 Char"/>
    <w:basedOn w:val="4"/>
    <w:link w:val="2"/>
    <w:uiPriority w:val="0"/>
    <w:rPr>
      <w:rFonts w:asciiTheme="minorHAnsi" w:hAnsiTheme="minorHAnsi" w:eastAsiaTheme="minorEastAsia" w:cstheme="minorBidi"/>
      <w:kern w:val="2"/>
      <w:sz w:val="18"/>
      <w:szCs w:val="18"/>
    </w:rPr>
  </w:style>
  <w:style w:type="paragraph" w:styleId="9">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4ACDE3-BCCE-424A-9255-D93DA1FB0B98}">
  <ds:schemaRefs/>
</ds:datastoreItem>
</file>

<file path=docProps/app.xml><?xml version="1.0" encoding="utf-8"?>
<Properties xmlns="http://schemas.openxmlformats.org/officeDocument/2006/extended-properties" xmlns:vt="http://schemas.openxmlformats.org/officeDocument/2006/docPropsVTypes">
  <Template>Normal.dotm</Template>
  <Pages>4</Pages>
  <Words>352</Words>
  <Characters>2009</Characters>
  <Lines>16</Lines>
  <Paragraphs>4</Paragraphs>
  <TotalTime>13</TotalTime>
  <ScaleCrop>false</ScaleCrop>
  <LinksUpToDate>false</LinksUpToDate>
  <CharactersWithSpaces>2357</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2019-01-05T05:44:00Z</dcterms:created>
  <dc:creator>Administrator</dc:creator>
  <cp:lastModifiedBy>Administrator</cp:lastModifiedBy>
  <cp:lastPrinted>2019-01-06T04:46:00Z</cp:lastPrinted>
  <dcterms:modified xsi:type="dcterms:W3CDTF">2019-01-06T05:02:28Z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