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ascii="方正大标宋简体" w:eastAsia="方正大标宋简体" w:cs="FZDBSJW--GB1-0"/>
          <w:color w:val="FF0000"/>
          <w:w w:val="76"/>
          <w:kern w:val="0"/>
          <w:sz w:val="32"/>
          <w:szCs w:val="32"/>
        </w:rPr>
      </w:pPr>
    </w:p>
    <w:p>
      <w:pPr>
        <w:jc w:val="center"/>
        <w:rPr>
          <w:rFonts w:ascii="方正大标宋简体" w:eastAsia="方正大标宋简体"/>
          <w:w w:val="76"/>
          <w:sz w:val="32"/>
          <w:szCs w:val="32"/>
        </w:rPr>
      </w:pPr>
      <w:r>
        <w:rPr>
          <w:rFonts w:ascii="方正大标宋简体" w:eastAsia="方正大标宋简体"/>
          <w:sz w:val="32"/>
          <w:szCs w:val="32"/>
        </w:rPr>
        <w:pict>
          <v:line id="_x0000_s1026" o:spid="_x0000_s1026" o:spt="20" style="position:absolute;left:0pt;margin-left:1.45pt;margin-top:29.1pt;height:0pt;width:442.2pt;z-index:251659264;mso-width-relative:page;mso-height-relative:page;"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EZQSFNQAAAAHAQAADwAAAAAAAAABACAAAAAi&#10;AAAAZHJzL2Rvd25yZXYueG1sUEsBAhQAFAAAAAgAh07iQEju5/LVAQAAnAMAAA4AAAAAAAAAAQAg&#10;AAAAIwEAAGRycy9lMm9Eb2MueG1sUEsFBgAAAAAGAAYAWQEAAGoFAAAAAA==&#10;">
            <v:path arrowok="t"/>
            <v:fill focussize="0,0"/>
            <v:stroke weight="2.25pt" color="#FF0000"/>
            <v:imagedata o:title=""/>
            <o:lock v:ext="edit"/>
          </v:line>
        </w:pict>
      </w:r>
      <w:r>
        <w:rPr>
          <w:rFonts w:hint="eastAsia" w:ascii="方正大标宋简体" w:eastAsia="方正大标宋简体"/>
          <w:w w:val="76"/>
          <w:sz w:val="32"/>
          <w:szCs w:val="32"/>
        </w:rPr>
        <w:t xml:space="preserve">实设通[2021] </w:t>
      </w:r>
      <w:r>
        <w:rPr>
          <w:rFonts w:hint="eastAsia" w:ascii="方正大标宋简体" w:eastAsia="方正大标宋简体"/>
          <w:w w:val="76"/>
          <w:sz w:val="32"/>
          <w:szCs w:val="32"/>
          <w:lang w:val="en-US" w:eastAsia="zh-CN"/>
        </w:rPr>
        <w:t>9</w:t>
      </w:r>
      <w:r>
        <w:rPr>
          <w:rFonts w:hint="eastAsia" w:ascii="方正大标宋简体" w:eastAsia="方正大标宋简体"/>
          <w:w w:val="76"/>
          <w:sz w:val="32"/>
          <w:szCs w:val="32"/>
        </w:rPr>
        <w:t>号</w:t>
      </w:r>
    </w:p>
    <w:p>
      <w:pPr>
        <w:jc w:val="center"/>
        <w:rPr>
          <w:rFonts w:ascii="宋体" w:hAnsi="宋体"/>
          <w:b/>
          <w:sz w:val="32"/>
          <w:szCs w:val="32"/>
        </w:rPr>
      </w:pPr>
      <w:r>
        <w:rPr>
          <w:rFonts w:hint="eastAsia" w:ascii="宋体" w:hAnsi="宋体"/>
          <w:b/>
          <w:sz w:val="32"/>
          <w:szCs w:val="32"/>
        </w:rPr>
        <w:t>关于开展实验室开放基金</w:t>
      </w:r>
    </w:p>
    <w:p>
      <w:pPr>
        <w:jc w:val="center"/>
        <w:rPr>
          <w:rFonts w:ascii="宋体" w:hAnsi="宋体"/>
          <w:b/>
          <w:sz w:val="32"/>
          <w:szCs w:val="32"/>
        </w:rPr>
      </w:pPr>
      <w:r>
        <w:rPr>
          <w:rFonts w:hint="eastAsia" w:ascii="宋体" w:hAnsi="宋体"/>
          <w:b/>
          <w:sz w:val="32"/>
          <w:szCs w:val="32"/>
        </w:rPr>
        <w:t>2021年项目申报及2020年项目结题工作的通知</w:t>
      </w:r>
    </w:p>
    <w:p>
      <w:pPr>
        <w:spacing w:line="580" w:lineRule="exact"/>
        <w:rPr>
          <w:rFonts w:ascii="仿宋" w:hAnsi="仿宋" w:eastAsia="仿宋"/>
          <w:sz w:val="28"/>
          <w:szCs w:val="28"/>
        </w:rPr>
      </w:pPr>
      <w:r>
        <w:rPr>
          <w:rFonts w:hint="eastAsia" w:ascii="仿宋" w:hAnsi="仿宋" w:eastAsia="仿宋"/>
          <w:sz w:val="28"/>
          <w:szCs w:val="28"/>
        </w:rPr>
        <w:t>各学院及相关单位：</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为进一步推进我校实验室开放，促进实验室优质资源共享，提高实验室仪器设备和实验室使用率，鼓励本科生进入实验室进行实验项目训练和科学研究，促进学生实践创新能力培养，学校决定开展实验室开放基金2021年项目申报及2020年项目结题工作，现将有关事项通知如下:</w:t>
      </w:r>
    </w:p>
    <w:p>
      <w:pPr>
        <w:spacing w:line="580" w:lineRule="exact"/>
        <w:ind w:firstLine="562" w:firstLineChars="200"/>
        <w:rPr>
          <w:rFonts w:ascii="仿宋" w:hAnsi="仿宋" w:eastAsia="仿宋"/>
          <w:b/>
          <w:bCs/>
          <w:sz w:val="28"/>
          <w:szCs w:val="28"/>
        </w:rPr>
      </w:pPr>
      <w:r>
        <w:rPr>
          <w:rFonts w:hint="eastAsia" w:ascii="仿宋" w:hAnsi="仿宋" w:eastAsia="仿宋"/>
          <w:b/>
          <w:bCs/>
          <w:sz w:val="28"/>
          <w:szCs w:val="28"/>
        </w:rPr>
        <w:t>一、2021年项目申报</w:t>
      </w:r>
    </w:p>
    <w:p>
      <w:pPr>
        <w:numPr>
          <w:ilvl w:val="0"/>
          <w:numId w:val="1"/>
        </w:numPr>
        <w:spacing w:line="580" w:lineRule="exact"/>
        <w:ind w:firstLine="562" w:firstLineChars="200"/>
        <w:rPr>
          <w:rFonts w:ascii="仿宋" w:hAnsi="仿宋" w:eastAsia="仿宋"/>
          <w:b/>
          <w:bCs/>
          <w:sz w:val="28"/>
          <w:szCs w:val="28"/>
        </w:rPr>
      </w:pPr>
      <w:r>
        <w:rPr>
          <w:rFonts w:hint="eastAsia" w:ascii="仿宋" w:hAnsi="仿宋" w:eastAsia="仿宋"/>
          <w:b/>
          <w:bCs/>
          <w:sz w:val="28"/>
          <w:szCs w:val="28"/>
        </w:rPr>
        <w:t>申报对象</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全校从事实验教学、管理的教师和实验室工作人员，已有立项项目尚未结题和近三年内有曾被撤销项目的主持人不得作为主持人申报本次项目。</w:t>
      </w:r>
    </w:p>
    <w:p>
      <w:pPr>
        <w:spacing w:line="580" w:lineRule="exact"/>
        <w:ind w:firstLine="562" w:firstLineChars="200"/>
        <w:rPr>
          <w:rFonts w:ascii="仿宋" w:hAnsi="仿宋" w:eastAsia="仿宋"/>
          <w:b/>
          <w:bCs/>
          <w:sz w:val="28"/>
          <w:szCs w:val="28"/>
        </w:rPr>
      </w:pPr>
      <w:r>
        <w:rPr>
          <w:rFonts w:hint="eastAsia" w:ascii="仿宋" w:hAnsi="仿宋" w:eastAsia="仿宋"/>
          <w:b/>
          <w:bCs/>
          <w:sz w:val="28"/>
          <w:szCs w:val="28"/>
        </w:rPr>
        <w:t>（二）申报要求</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1.项目必须依托实验教学中心下辖的实验室为平台，在确保正常教学任务的情况下，开展实验室开放工作。开放内容：对于低年级学生，以训练其基本技能和实践能力为主；对于高年级学生，以培养其创新意识和创业能力为主。开放时间：应该在正常教学任务之外的时间，包括，全天候开放或预约式开放、阶段式开放（周六、周日、晚上、假期）等。</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2.开放项目的设置要紧扣本专业人才培养方案，针对学生专业基础技能和综合应用能力训练，开设实验教学计划以外的“综合性、设计性以及创新性”实验项目，推动学生创新能力培养，作为本科实验教学的有机补充。申报的实验室开放基金项目与正常实验教学任务（含开放时间与正常实验教学任务时间相同）、大学生创新训练项目、毕业论文（设计）、各类竞赛项目内容相近或相似的，不属于资助范围。</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3.项目形式包括：根据实验室的特点和功能设置供学生选择的开放项目、教师申报供学生选择的开放项目、学生自行申报并有具体教师指导的开放项目。</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4.项目申请者填写《实验室开放基金项目申请书》(见附件1)，学院审核后择优统一上报至实验室与设备管理中心，本次申报实行限项申报，每个专业推荐不超过2项。</w:t>
      </w:r>
    </w:p>
    <w:p>
      <w:pPr>
        <w:spacing w:line="580" w:lineRule="exact"/>
        <w:ind w:firstLine="562" w:firstLineChars="200"/>
        <w:rPr>
          <w:rFonts w:ascii="仿宋" w:hAnsi="仿宋" w:eastAsia="仿宋"/>
          <w:b/>
          <w:bCs/>
          <w:sz w:val="28"/>
          <w:szCs w:val="28"/>
        </w:rPr>
      </w:pPr>
      <w:r>
        <w:rPr>
          <w:rFonts w:hint="eastAsia" w:ascii="仿宋" w:hAnsi="仿宋" w:eastAsia="仿宋"/>
          <w:b/>
          <w:bCs/>
          <w:sz w:val="28"/>
          <w:szCs w:val="28"/>
        </w:rPr>
        <w:t>（三）建设要求</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1.所有立项项目必须在学院网站或其他公开平台公布后方可实施，公布的内容包括具体的</w:t>
      </w:r>
      <w:r>
        <w:rPr>
          <w:rFonts w:hint="eastAsia" w:ascii="仿宋" w:hAnsi="仿宋" w:eastAsia="仿宋"/>
          <w:sz w:val="28"/>
          <w:szCs w:val="28"/>
          <w:lang w:eastAsia="zh-CN"/>
        </w:rPr>
        <w:t>开放</w:t>
      </w:r>
      <w:r>
        <w:rPr>
          <w:rFonts w:hint="eastAsia" w:ascii="仿宋" w:hAnsi="仿宋" w:eastAsia="仿宋"/>
          <w:sz w:val="28"/>
          <w:szCs w:val="28"/>
        </w:rPr>
        <w:t>课表，承担开放项目的实验室、开放的时间、开放的内容、实验室工作人员、实施开放实验的学生（班级、人数）以及指导教师。</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2.所有立项项目在建设之前必须将课表上报实验室与设备中心，学校将根据课表进行抽查，对于不上交课表或不按照课表组织开放，虚构开放时间内容的学校将按照相关教学管理制度处理。</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3.经费使用范围：立项的开放基金经费需严格遵照我单位下发的有关经费使用的管理办法，可用于开支指导教师（含实验室管理人员）人员经费，耗材经费、资料费、办公用品费用及必须开支的交通费。</w:t>
      </w:r>
    </w:p>
    <w:p>
      <w:pPr>
        <w:spacing w:line="580" w:lineRule="exact"/>
        <w:ind w:firstLine="560" w:firstLineChars="200"/>
        <w:rPr>
          <w:rFonts w:ascii="仿宋" w:hAnsi="仿宋" w:eastAsia="仿宋"/>
          <w:sz w:val="28"/>
          <w:szCs w:val="28"/>
        </w:rPr>
      </w:pPr>
    </w:p>
    <w:p>
      <w:pPr>
        <w:spacing w:line="580" w:lineRule="exact"/>
        <w:ind w:firstLine="562" w:firstLineChars="200"/>
        <w:rPr>
          <w:rFonts w:ascii="仿宋" w:hAnsi="仿宋" w:eastAsia="仿宋"/>
          <w:b/>
          <w:bCs/>
          <w:sz w:val="28"/>
          <w:szCs w:val="28"/>
        </w:rPr>
      </w:pPr>
      <w:r>
        <w:rPr>
          <w:rFonts w:hint="eastAsia" w:ascii="仿宋" w:hAnsi="仿宋" w:eastAsia="仿宋"/>
          <w:b/>
          <w:bCs/>
          <w:sz w:val="28"/>
          <w:szCs w:val="28"/>
        </w:rPr>
        <w:t>二、2020年项目结题</w:t>
      </w:r>
    </w:p>
    <w:p>
      <w:pPr>
        <w:numPr>
          <w:ilvl w:val="0"/>
          <w:numId w:val="2"/>
        </w:numPr>
        <w:spacing w:line="580" w:lineRule="exact"/>
        <w:ind w:firstLine="562" w:firstLineChars="200"/>
        <w:rPr>
          <w:rFonts w:ascii="仿宋" w:hAnsi="仿宋" w:eastAsia="仿宋"/>
          <w:b/>
          <w:bCs/>
          <w:sz w:val="28"/>
          <w:szCs w:val="28"/>
        </w:rPr>
      </w:pPr>
      <w:r>
        <w:rPr>
          <w:rFonts w:hint="eastAsia" w:ascii="仿宋" w:hAnsi="仿宋" w:eastAsia="仿宋"/>
          <w:b/>
          <w:bCs/>
          <w:sz w:val="28"/>
          <w:szCs w:val="28"/>
        </w:rPr>
        <w:t>结题对象</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2021年立项及2020年延期结题的实验室开放基金项目（见附件2）。</w:t>
      </w:r>
    </w:p>
    <w:p>
      <w:pPr>
        <w:numPr>
          <w:ilvl w:val="0"/>
          <w:numId w:val="2"/>
        </w:numPr>
        <w:spacing w:line="580" w:lineRule="exact"/>
        <w:ind w:firstLine="562" w:firstLineChars="200"/>
        <w:rPr>
          <w:rFonts w:ascii="仿宋" w:hAnsi="仿宋" w:eastAsia="仿宋"/>
          <w:b/>
          <w:bCs/>
          <w:sz w:val="28"/>
          <w:szCs w:val="28"/>
        </w:rPr>
      </w:pPr>
      <w:r>
        <w:rPr>
          <w:rFonts w:hint="eastAsia" w:ascii="仿宋" w:hAnsi="仿宋" w:eastAsia="仿宋"/>
          <w:b/>
          <w:bCs/>
          <w:sz w:val="28"/>
          <w:szCs w:val="28"/>
        </w:rPr>
        <w:t>材料要求</w:t>
      </w:r>
    </w:p>
    <w:p>
      <w:pPr>
        <w:spacing w:line="580" w:lineRule="exact"/>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w:t>
      </w:r>
      <w:r>
        <w:rPr>
          <w:rFonts w:ascii="仿宋" w:hAnsi="仿宋" w:eastAsia="仿宋"/>
          <w:sz w:val="28"/>
          <w:szCs w:val="28"/>
        </w:rPr>
        <w:t>吉首大学实验室开放基金验收结题报告书 (附件</w:t>
      </w:r>
      <w:r>
        <w:rPr>
          <w:rFonts w:hint="eastAsia" w:ascii="仿宋" w:hAnsi="仿宋" w:eastAsia="仿宋"/>
          <w:sz w:val="28"/>
          <w:szCs w:val="28"/>
        </w:rPr>
        <w:t>3</w:t>
      </w:r>
      <w:r>
        <w:rPr>
          <w:rFonts w:ascii="仿宋" w:hAnsi="仿宋" w:eastAsia="仿宋"/>
          <w:sz w:val="28"/>
          <w:szCs w:val="28"/>
        </w:rPr>
        <w:t>)。</w:t>
      </w:r>
    </w:p>
    <w:p>
      <w:pPr>
        <w:spacing w:line="580" w:lineRule="exact"/>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w:t>
      </w:r>
      <w:r>
        <w:rPr>
          <w:rFonts w:ascii="仿宋" w:hAnsi="仿宋" w:eastAsia="仿宋"/>
          <w:sz w:val="28"/>
          <w:szCs w:val="28"/>
        </w:rPr>
        <w:t>反映项目建设实施过程材料：项目开课课表（包括时间、地点、内容等情况）、讲义或教案、实验仪器使用登记本（复印件）、实验室工作日志（复印件）、学生签到表等。</w:t>
      </w:r>
    </w:p>
    <w:p>
      <w:pPr>
        <w:spacing w:line="580" w:lineRule="exact"/>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w:t>
      </w:r>
      <w:r>
        <w:rPr>
          <w:rFonts w:ascii="仿宋" w:hAnsi="仿宋" w:eastAsia="仿宋"/>
          <w:sz w:val="28"/>
          <w:szCs w:val="28"/>
        </w:rPr>
        <w:t>反映项目建设效果的材料：如实验数据、软件、实物、设计方案、实验报告（原始记录）、实验总结等。</w:t>
      </w:r>
    </w:p>
    <w:p>
      <w:pPr>
        <w:spacing w:line="580" w:lineRule="exact"/>
        <w:ind w:firstLine="560" w:firstLineChars="200"/>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w:t>
      </w:r>
      <w:r>
        <w:rPr>
          <w:rFonts w:ascii="仿宋" w:hAnsi="仿宋" w:eastAsia="仿宋"/>
          <w:sz w:val="28"/>
          <w:szCs w:val="28"/>
        </w:rPr>
        <w:t>反映本项目的报导、资料、图片、成果等支撑材料。</w:t>
      </w:r>
    </w:p>
    <w:p>
      <w:pPr>
        <w:spacing w:line="580" w:lineRule="exact"/>
        <w:ind w:firstLine="560" w:firstLineChars="200"/>
        <w:rPr>
          <w:rFonts w:ascii="仿宋" w:hAnsi="仿宋" w:eastAsia="仿宋"/>
          <w:sz w:val="28"/>
          <w:szCs w:val="28"/>
        </w:rPr>
      </w:pPr>
      <w:r>
        <w:rPr>
          <w:rFonts w:ascii="仿宋" w:hAnsi="仿宋" w:eastAsia="仿宋"/>
          <w:sz w:val="28"/>
          <w:szCs w:val="28"/>
        </w:rPr>
        <w:t>所有结题材料按上述顺序装订成册，交学院审核盖章，由院系统一上报至实验室与设备管理中心。</w:t>
      </w:r>
    </w:p>
    <w:p>
      <w:pPr>
        <w:spacing w:line="580" w:lineRule="exact"/>
        <w:ind w:firstLine="562" w:firstLineChars="200"/>
        <w:rPr>
          <w:rFonts w:ascii="仿宋" w:hAnsi="仿宋" w:eastAsia="仿宋"/>
          <w:b/>
          <w:bCs/>
          <w:sz w:val="28"/>
          <w:szCs w:val="28"/>
        </w:rPr>
      </w:pPr>
      <w:r>
        <w:rPr>
          <w:rFonts w:hint="eastAsia" w:ascii="仿宋" w:hAnsi="仿宋" w:eastAsia="仿宋"/>
          <w:b/>
          <w:bCs/>
          <w:sz w:val="28"/>
          <w:szCs w:val="28"/>
        </w:rPr>
        <w:t>三、材料要求</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（一）截止时间：</w:t>
      </w:r>
      <w:r>
        <w:rPr>
          <w:rFonts w:hint="eastAsia" w:ascii="仿宋" w:hAnsi="仿宋" w:eastAsia="仿宋"/>
          <w:color w:val="auto"/>
          <w:sz w:val="28"/>
          <w:szCs w:val="28"/>
        </w:rPr>
        <w:t>6月</w:t>
      </w:r>
      <w:r>
        <w:rPr>
          <w:rFonts w:hint="eastAsia" w:ascii="仿宋" w:hAnsi="仿宋" w:eastAsia="仿宋"/>
          <w:sz w:val="28"/>
          <w:szCs w:val="28"/>
          <w:lang w:val="en-US" w:eastAsia="zh-CN"/>
        </w:rPr>
        <w:t>18</w:t>
      </w:r>
      <w:r>
        <w:rPr>
          <w:rFonts w:hint="eastAsia" w:ascii="仿宋" w:hAnsi="仿宋" w:eastAsia="仿宋"/>
          <w:sz w:val="28"/>
          <w:szCs w:val="28"/>
        </w:rPr>
        <w:t>日下午下班前。</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二）报送方式：由学院统一报至实验室与设备管理中心，不接受个人报送。纸质稿套印（一份）签字盖章后吉首校区交至创业园307室，张家界校区交至实验室与设备管理中心张家界校区管理办公室，电子文档发送至2698467677@qq.com。</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（三）联系方式：吉首校区:全慧芳, 张家界校区:朱炯波。</w:t>
      </w:r>
    </w:p>
    <w:p>
      <w:pPr>
        <w:spacing w:line="580" w:lineRule="exact"/>
        <w:ind w:firstLine="840" w:firstLineChars="300"/>
        <w:rPr>
          <w:rFonts w:ascii="仿宋" w:hAnsi="仿宋" w:eastAsia="仿宋"/>
          <w:sz w:val="28"/>
          <w:szCs w:val="28"/>
        </w:rPr>
      </w:pPr>
    </w:p>
    <w:p>
      <w:pPr>
        <w:spacing w:line="580" w:lineRule="exact"/>
        <w:ind w:firstLine="560" w:firstLineChars="200"/>
        <w:rPr>
          <w:rFonts w:ascii="仿宋" w:hAnsi="仿宋" w:eastAsia="仿宋"/>
          <w:sz w:val="28"/>
          <w:szCs w:val="28"/>
        </w:rPr>
      </w:pPr>
      <w:r>
        <w:rPr>
          <w:rFonts w:hint="eastAsia" w:ascii="仿宋" w:hAnsi="仿宋" w:eastAsia="仿宋"/>
          <w:sz w:val="28"/>
          <w:szCs w:val="28"/>
        </w:rPr>
        <w:t>附件1:吉首大学实验室开放基金项目申请书</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附件2：吉首大学2021年立项实验室开放基金项目与2020年延期结题项目汇总表</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附件3：吉首大学实验室开放基金验收结题报告书</w:t>
      </w:r>
    </w:p>
    <w:p>
      <w:pPr>
        <w:spacing w:line="580" w:lineRule="exact"/>
        <w:rPr>
          <w:rFonts w:ascii="仿宋" w:hAnsi="仿宋" w:eastAsia="仿宋"/>
          <w:sz w:val="28"/>
          <w:szCs w:val="28"/>
        </w:rPr>
      </w:pPr>
    </w:p>
    <w:p>
      <w:pPr>
        <w:spacing w:line="580" w:lineRule="exact"/>
        <w:rPr>
          <w:rFonts w:ascii="仿宋" w:hAnsi="仿宋" w:eastAsia="仿宋"/>
          <w:sz w:val="28"/>
          <w:szCs w:val="28"/>
        </w:rPr>
      </w:pPr>
    </w:p>
    <w:p>
      <w:pPr>
        <w:shd w:val="clear" w:color="auto" w:fill="FFFFFF"/>
        <w:jc w:val="left"/>
        <w:rPr>
          <w:rFonts w:ascii="仿宋" w:hAnsi="仿宋" w:eastAsia="仿宋"/>
          <w:color w:val="000000"/>
          <w:sz w:val="32"/>
          <w:szCs w:val="32"/>
        </w:rPr>
      </w:pPr>
      <w:r>
        <w:rPr>
          <w:rFonts w:ascii="仿宋" w:hAnsi="仿宋" w:eastAsia="仿宋" w:cs="仿宋"/>
          <w:sz w:val="30"/>
          <w:szCs w:val="30"/>
        </w:rPr>
        <w:pict>
          <v:shape id="_x0000_s1027" o:spid="_x0000_s1027" o:spt="75" alt="中心印章" type="#_x0000_t75" style="position:absolute;left:0pt;margin-left:274.7pt;margin-top:28.3pt;height:126.9pt;width:125.3pt;z-index:-251656192;mso-width-relative:page;mso-height-relative:page;" filled="f" o:preferrelative="t" stroked="f" coordsize="21600,21600">
            <v:path/>
            <v:fill on="f" focussize="0,0"/>
            <v:stroke on="f" joinstyle="miter"/>
            <v:imagedata r:id="rId4" o:title="中心印章"/>
            <o:lock v:ext="edit" aspectratio="t"/>
          </v:shape>
        </w:pict>
      </w:r>
    </w:p>
    <w:p>
      <w:pPr>
        <w:rPr>
          <w:rFonts w:ascii="仿宋" w:hAnsi="仿宋" w:eastAsia="仿宋"/>
          <w:color w:val="000000"/>
          <w:sz w:val="28"/>
          <w:szCs w:val="28"/>
        </w:rPr>
      </w:pPr>
    </w:p>
    <w:p>
      <w:pPr>
        <w:rPr>
          <w:rFonts w:ascii="仿宋" w:hAnsi="仿宋" w:eastAsia="仿宋"/>
          <w:color w:val="000000"/>
          <w:sz w:val="28"/>
          <w:szCs w:val="28"/>
        </w:rPr>
      </w:pPr>
      <w:r>
        <w:rPr>
          <w:rFonts w:hint="eastAsia" w:ascii="仿宋" w:hAnsi="仿宋" w:eastAsia="仿宋"/>
          <w:color w:val="000000"/>
          <w:sz w:val="28"/>
          <w:szCs w:val="28"/>
        </w:rPr>
        <w:t xml:space="preserve">                                       实验室与设备管理中心</w:t>
      </w:r>
    </w:p>
    <w:p>
      <w:pPr>
        <w:ind w:firstLine="840" w:firstLineChars="300"/>
        <w:rPr>
          <w:rFonts w:ascii="仿宋_GB2312" w:eastAsia="仿宋_GB2312"/>
          <w:bCs/>
          <w:color w:val="000000"/>
          <w:sz w:val="28"/>
          <w:szCs w:val="28"/>
        </w:rPr>
      </w:pPr>
      <w:r>
        <w:rPr>
          <w:rFonts w:hint="eastAsia" w:ascii="仿宋" w:hAnsi="仿宋" w:eastAsia="仿宋"/>
          <w:color w:val="000000"/>
          <w:sz w:val="28"/>
          <w:szCs w:val="28"/>
        </w:rPr>
        <w:t xml:space="preserve">                                   2021年6月</w:t>
      </w:r>
      <w:r>
        <w:rPr>
          <w:rFonts w:hint="eastAsia" w:ascii="仿宋" w:hAnsi="仿宋" w:eastAsia="仿宋"/>
          <w:color w:val="000000"/>
          <w:sz w:val="28"/>
          <w:szCs w:val="28"/>
          <w:lang w:val="en-US" w:eastAsia="zh-CN"/>
        </w:rPr>
        <w:t>7</w:t>
      </w:r>
      <w:bookmarkStart w:id="0" w:name="_GoBack"/>
      <w:bookmarkEnd w:id="0"/>
      <w:r>
        <w:rPr>
          <w:rFonts w:hint="eastAsia" w:ascii="仿宋" w:hAnsi="仿宋" w:eastAsia="仿宋"/>
          <w:color w:val="000000"/>
          <w:sz w:val="28"/>
          <w:szCs w:val="28"/>
        </w:rPr>
        <w:t>日</w:t>
      </w:r>
      <w:r>
        <w:rPr>
          <w:rFonts w:hint="eastAsia" w:ascii="仿宋" w:hAnsi="仿宋" w:eastAsia="仿宋"/>
          <w:color w:val="000000"/>
          <w:sz w:val="28"/>
          <w:szCs w:val="28"/>
        </w:rPr>
        <w:tab/>
      </w:r>
    </w:p>
    <w:p>
      <w:pPr>
        <w:ind w:firstLine="840" w:firstLineChars="300"/>
        <w:rPr>
          <w:rFonts w:ascii="仿宋_GB2312" w:eastAsia="仿宋_GB2312"/>
          <w:sz w:val="28"/>
          <w:szCs w:val="28"/>
        </w:rPr>
      </w:pPr>
    </w:p>
    <w:p>
      <w:pPr>
        <w:ind w:firstLine="435"/>
        <w:jc w:val="right"/>
        <w:rPr>
          <w:rFonts w:ascii="仿宋_GB2312" w:eastAsia="仿宋_GB2312"/>
          <w:sz w:val="28"/>
          <w:szCs w:val="28"/>
        </w:rPr>
      </w:pPr>
    </w:p>
    <w:p>
      <w:pPr>
        <w:ind w:firstLine="435"/>
        <w:jc w:val="right"/>
        <w:rPr>
          <w:color w:val="000000"/>
          <w:sz w:val="28"/>
          <w:szCs w:val="28"/>
        </w:rPr>
      </w:pPr>
    </w:p>
    <w:p>
      <w:pPr>
        <w:spacing w:line="560" w:lineRule="exact"/>
        <w:ind w:firstLine="640" w:firstLineChars="200"/>
        <w:rPr>
          <w:rFonts w:ascii="仿宋" w:hAnsi="仿宋" w:eastAsia="仿宋"/>
          <w:color w:val="000000"/>
          <w:sz w:val="32"/>
          <w:szCs w:val="32"/>
        </w:rPr>
      </w:pPr>
    </w:p>
    <w:p>
      <w:pPr>
        <w:rPr>
          <w:rFonts w:ascii="仿宋" w:hAnsi="仿宋" w:eastAsia="仿宋"/>
          <w:color w:val="000000"/>
          <w:sz w:val="28"/>
          <w:szCs w:val="28"/>
        </w:rPr>
      </w:pPr>
    </w:p>
    <w:p>
      <w:pPr>
        <w:spacing w:line="560" w:lineRule="exact"/>
        <w:rPr>
          <w:rFonts w:ascii="仿宋" w:hAnsi="仿宋" w:eastAsia="仿宋"/>
          <w:color w:val="000000"/>
          <w:sz w:val="28"/>
          <w:szCs w:val="28"/>
        </w:rPr>
      </w:pP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x000C_.">
    <w:altName w:val="仿宋"/>
    <w:panose1 w:val="00000000000000000000"/>
    <w:charset w:val="86"/>
    <w:family w:val="roman"/>
    <w:pitch w:val="default"/>
    <w:sig w:usb0="00000000" w:usb1="00000000" w:usb2="00000000" w:usb3="00000000" w:csb0="00040000" w:csb1="00000000"/>
  </w:font>
  <w:font w:name="方正大标宋简体">
    <w:altName w:val="宋体"/>
    <w:panose1 w:val="00000000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5D0F4"/>
    <w:multiLevelType w:val="singleLevel"/>
    <w:tmpl w:val="CC85D0F4"/>
    <w:lvl w:ilvl="0" w:tentative="0">
      <w:start w:val="1"/>
      <w:numFmt w:val="chineseCounting"/>
      <w:suff w:val="nothing"/>
      <w:lvlText w:val="（%1）"/>
      <w:lvlJc w:val="left"/>
      <w:rPr>
        <w:rFonts w:hint="eastAsia"/>
      </w:rPr>
    </w:lvl>
  </w:abstractNum>
  <w:abstractNum w:abstractNumId="1">
    <w:nsid w:val="485A5067"/>
    <w:multiLevelType w:val="singleLevel"/>
    <w:tmpl w:val="485A506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3378A"/>
    <w:rsid w:val="00055825"/>
    <w:rsid w:val="00172A27"/>
    <w:rsid w:val="00173103"/>
    <w:rsid w:val="00193959"/>
    <w:rsid w:val="00194CD4"/>
    <w:rsid w:val="001B021B"/>
    <w:rsid w:val="002B34B7"/>
    <w:rsid w:val="002E2321"/>
    <w:rsid w:val="002E3CF8"/>
    <w:rsid w:val="00322489"/>
    <w:rsid w:val="00322DCB"/>
    <w:rsid w:val="003926B6"/>
    <w:rsid w:val="003A423D"/>
    <w:rsid w:val="003C5BB1"/>
    <w:rsid w:val="003C6F07"/>
    <w:rsid w:val="003D3254"/>
    <w:rsid w:val="0042018B"/>
    <w:rsid w:val="004D68E1"/>
    <w:rsid w:val="004F6B8E"/>
    <w:rsid w:val="005467F7"/>
    <w:rsid w:val="00547572"/>
    <w:rsid w:val="00662657"/>
    <w:rsid w:val="006857C8"/>
    <w:rsid w:val="006A179A"/>
    <w:rsid w:val="0070498C"/>
    <w:rsid w:val="0072628E"/>
    <w:rsid w:val="00750A21"/>
    <w:rsid w:val="007574B9"/>
    <w:rsid w:val="00763BC5"/>
    <w:rsid w:val="00770DFC"/>
    <w:rsid w:val="00773F26"/>
    <w:rsid w:val="007E2DD1"/>
    <w:rsid w:val="007F58B7"/>
    <w:rsid w:val="00802DBC"/>
    <w:rsid w:val="00847575"/>
    <w:rsid w:val="008C094F"/>
    <w:rsid w:val="0094386E"/>
    <w:rsid w:val="009B3115"/>
    <w:rsid w:val="009C55AC"/>
    <w:rsid w:val="00A15F7F"/>
    <w:rsid w:val="00A2108D"/>
    <w:rsid w:val="00A44590"/>
    <w:rsid w:val="00A529EC"/>
    <w:rsid w:val="00AB255A"/>
    <w:rsid w:val="00AE3A70"/>
    <w:rsid w:val="00B46468"/>
    <w:rsid w:val="00B561B6"/>
    <w:rsid w:val="00BE5D00"/>
    <w:rsid w:val="00C2186F"/>
    <w:rsid w:val="00C26950"/>
    <w:rsid w:val="00C63975"/>
    <w:rsid w:val="00D0679D"/>
    <w:rsid w:val="00D1147C"/>
    <w:rsid w:val="00D371F2"/>
    <w:rsid w:val="00D91732"/>
    <w:rsid w:val="00D9677A"/>
    <w:rsid w:val="00DC3D60"/>
    <w:rsid w:val="00DE5AC9"/>
    <w:rsid w:val="00E53BCB"/>
    <w:rsid w:val="00E64D03"/>
    <w:rsid w:val="00EA52A1"/>
    <w:rsid w:val="00EC1619"/>
    <w:rsid w:val="00EE4E5C"/>
    <w:rsid w:val="00EF353E"/>
    <w:rsid w:val="00F249C4"/>
    <w:rsid w:val="00F50A64"/>
    <w:rsid w:val="00FB4772"/>
    <w:rsid w:val="00FC3104"/>
    <w:rsid w:val="00FE0623"/>
    <w:rsid w:val="00FE0A7E"/>
    <w:rsid w:val="02A21531"/>
    <w:rsid w:val="03EB2ED5"/>
    <w:rsid w:val="05271F74"/>
    <w:rsid w:val="056640E5"/>
    <w:rsid w:val="0893064A"/>
    <w:rsid w:val="0E474E63"/>
    <w:rsid w:val="0E541080"/>
    <w:rsid w:val="12300A85"/>
    <w:rsid w:val="128F4FAF"/>
    <w:rsid w:val="132A2BD1"/>
    <w:rsid w:val="13C03BA3"/>
    <w:rsid w:val="13F33668"/>
    <w:rsid w:val="16665D74"/>
    <w:rsid w:val="16931EE1"/>
    <w:rsid w:val="16E67819"/>
    <w:rsid w:val="171750FB"/>
    <w:rsid w:val="1770200D"/>
    <w:rsid w:val="19BD5C2F"/>
    <w:rsid w:val="209F5145"/>
    <w:rsid w:val="250146F0"/>
    <w:rsid w:val="270569F6"/>
    <w:rsid w:val="294669FA"/>
    <w:rsid w:val="2A432F2F"/>
    <w:rsid w:val="2BD72C73"/>
    <w:rsid w:val="2C2707F6"/>
    <w:rsid w:val="2CF9419F"/>
    <w:rsid w:val="2DBF58BA"/>
    <w:rsid w:val="2F15518A"/>
    <w:rsid w:val="34BC7836"/>
    <w:rsid w:val="38745FCD"/>
    <w:rsid w:val="3B605EBB"/>
    <w:rsid w:val="3B8D4AD0"/>
    <w:rsid w:val="3C712642"/>
    <w:rsid w:val="3D3136B8"/>
    <w:rsid w:val="3E4711C8"/>
    <w:rsid w:val="3E636910"/>
    <w:rsid w:val="40CB6B08"/>
    <w:rsid w:val="41AB5D6E"/>
    <w:rsid w:val="42CB05A4"/>
    <w:rsid w:val="42EC4D0E"/>
    <w:rsid w:val="433137CC"/>
    <w:rsid w:val="43BF2777"/>
    <w:rsid w:val="46D70C19"/>
    <w:rsid w:val="4B6815C9"/>
    <w:rsid w:val="4C166DBC"/>
    <w:rsid w:val="4DBA60A5"/>
    <w:rsid w:val="4F061947"/>
    <w:rsid w:val="53245D80"/>
    <w:rsid w:val="53C4592D"/>
    <w:rsid w:val="543C4C32"/>
    <w:rsid w:val="560835A7"/>
    <w:rsid w:val="57DD5B63"/>
    <w:rsid w:val="58D763EF"/>
    <w:rsid w:val="5E0B5C0C"/>
    <w:rsid w:val="5E845BF4"/>
    <w:rsid w:val="616A40C1"/>
    <w:rsid w:val="62F055E2"/>
    <w:rsid w:val="63442AC8"/>
    <w:rsid w:val="63F54933"/>
    <w:rsid w:val="6549537D"/>
    <w:rsid w:val="67AD1AD5"/>
    <w:rsid w:val="687F2FB9"/>
    <w:rsid w:val="6AC42C7A"/>
    <w:rsid w:val="6AE66223"/>
    <w:rsid w:val="6D385F71"/>
    <w:rsid w:val="6FBB05B4"/>
    <w:rsid w:val="72D134A9"/>
    <w:rsid w:val="74DC4E56"/>
    <w:rsid w:val="75676365"/>
    <w:rsid w:val="76FD4826"/>
    <w:rsid w:val="770F68A2"/>
    <w:rsid w:val="79EE351B"/>
    <w:rsid w:val="7A9F55AE"/>
    <w:rsid w:val="7B1E1FF2"/>
    <w:rsid w:val="7C90536B"/>
    <w:rsid w:val="7DD87F33"/>
    <w:rsid w:val="7F5B685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link w:val="12"/>
    <w:qFormat/>
    <w:uiPriority w:val="0"/>
    <w:pPr>
      <w:widowControl/>
      <w:ind w:firstLine="604"/>
    </w:pPr>
    <w:rPr>
      <w:rFonts w:ascii="仿宋_GB2312" w:eastAsia="仿宋_GB2312"/>
      <w:color w:val="000000"/>
      <w:sz w:val="32"/>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rFonts w:cs="Times New Roman"/>
      <w:b/>
    </w:rPr>
  </w:style>
  <w:style w:type="character" w:styleId="8">
    <w:name w:val="Hyperlink"/>
    <w:qFormat/>
    <w:uiPriority w:val="0"/>
    <w:rPr>
      <w:color w:val="0000FF"/>
      <w:u w:val="single"/>
    </w:rPr>
  </w:style>
  <w:style w:type="paragraph" w:customStyle="1" w:styleId="9">
    <w:name w:val="Default"/>
    <w:unhideWhenUsed/>
    <w:qFormat/>
    <w:uiPriority w:val="99"/>
    <w:pPr>
      <w:widowControl w:val="0"/>
      <w:autoSpaceDE w:val="0"/>
      <w:autoSpaceDN w:val="0"/>
      <w:adjustRightInd w:val="0"/>
    </w:pPr>
    <w:rPr>
      <w:rFonts w:hint="eastAsia" w:ascii="仿宋_x000C_." w:hAnsi="仿宋_x000C_." w:eastAsia="仿宋_x000C_." w:cs="Times New Roman"/>
      <w:color w:val="000000"/>
      <w:sz w:val="24"/>
      <w:lang w:val="en-US" w:eastAsia="zh-CN" w:bidi="ar-SA"/>
    </w:rPr>
  </w:style>
  <w:style w:type="character" w:customStyle="1" w:styleId="10">
    <w:name w:val="页脚 Char"/>
    <w:link w:val="3"/>
    <w:qFormat/>
    <w:uiPriority w:val="0"/>
    <w:rPr>
      <w:kern w:val="2"/>
      <w:sz w:val="18"/>
      <w:szCs w:val="18"/>
    </w:rPr>
  </w:style>
  <w:style w:type="character" w:customStyle="1" w:styleId="11">
    <w:name w:val="页眉 Char"/>
    <w:link w:val="4"/>
    <w:qFormat/>
    <w:uiPriority w:val="0"/>
    <w:rPr>
      <w:kern w:val="2"/>
      <w:sz w:val="18"/>
      <w:szCs w:val="18"/>
    </w:rPr>
  </w:style>
  <w:style w:type="character" w:customStyle="1" w:styleId="12">
    <w:name w:val="正文文本缩进 2 Char"/>
    <w:link w:val="2"/>
    <w:qFormat/>
    <w:uiPriority w:val="0"/>
    <w:rPr>
      <w:rFonts w:ascii="仿宋_GB2312" w:eastAsia="仿宋_GB2312"/>
      <w:color w:val="000000"/>
      <w:kern w:val="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4</Pages>
  <Words>255</Words>
  <Characters>1454</Characters>
  <Lines>12</Lines>
  <Paragraphs>3</Paragraphs>
  <TotalTime>18</TotalTime>
  <ScaleCrop>false</ScaleCrop>
  <LinksUpToDate>false</LinksUpToDate>
  <CharactersWithSpaces>1706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2015-07-18T00:32:00Z</dcterms:created>
  <dc:creator>雨林木风</dc:creator>
  <cp:lastModifiedBy>Administrator</cp:lastModifiedBy>
  <cp:lastPrinted>2019-04-12T02:59:00Z</cp:lastPrinted>
  <dcterms:modified xsi:type="dcterms:W3CDTF">2021-06-07T06:54:22Z</dcterms:modified>
  <dc:title>吉首大学实验室与设备管理中心</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37D84BB54B8F4066AF549DA8A323E9B5</vt:lpwstr>
  </property>
</Properties>
</file>