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rPr>
          <w:rFonts w:ascii="Times New Roman" w:hAnsi="Times New Roman" w:eastAsia="仿宋_GB2312" w:cs="Times New Roman"/>
          <w:sz w:val="32"/>
          <w:szCs w:val="32"/>
        </w:rPr>
      </w:pPr>
    </w:p>
    <w:p>
      <w:pPr>
        <w:jc w:val="right"/>
        <w:rPr>
          <w:rFonts w:ascii="Times New Roman" w:hAnsi="Times New Roman" w:eastAsia="仿宋_GB2312" w:cs="Times New Roman"/>
          <w:sz w:val="32"/>
          <w:szCs w:val="32"/>
        </w:rPr>
      </w:pPr>
    </w:p>
    <w:p>
      <w:pPr>
        <w:jc w:val="right"/>
        <w:rPr>
          <w:rFonts w:ascii="Times New Roman" w:hAnsi="Times New Roman" w:eastAsia="仿宋_GB2312" w:cs="Times New Roman"/>
          <w:sz w:val="32"/>
          <w:szCs w:val="32"/>
        </w:rPr>
      </w:pPr>
    </w:p>
    <w:p>
      <w:pPr>
        <w:jc w:val="righ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湘教通〔</w:t>
      </w:r>
      <w:r>
        <w:rPr>
          <w:rFonts w:ascii="Times New Roman" w:hAnsi="Times New Roman" w:eastAsia="仿宋_GB2312" w:cs="Times New Roman"/>
          <w:sz w:val="32"/>
          <w:szCs w:val="32"/>
        </w:rPr>
        <w:t>2013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392</w:t>
      </w:r>
      <w:r>
        <w:rPr>
          <w:rFonts w:hint="eastAsia" w:ascii="Times New Roman" w:hAnsi="Times New Roman" w:eastAsia="仿宋_GB2312" w:cs="仿宋_GB2312"/>
          <w:sz w:val="32"/>
          <w:szCs w:val="32"/>
        </w:rPr>
        <w:t>号</w:t>
      </w:r>
    </w:p>
    <w:p>
      <w:pPr>
        <w:jc w:val="right"/>
        <w:rPr>
          <w:rFonts w:ascii="Times New Roman" w:hAnsi="Times New Roman" w:eastAsia="仿宋_GB2312" w:cs="Times New Roman"/>
          <w:sz w:val="32"/>
          <w:szCs w:val="32"/>
        </w:rPr>
      </w:pPr>
    </w:p>
    <w:p>
      <w:pPr>
        <w:snapToGrid w:val="0"/>
        <w:jc w:val="center"/>
        <w:rPr>
          <w:rFonts w:ascii="方正小标宋简体" w:hAnsi="Times New Roman" w:eastAsia="方正小标宋简体" w:cs="Times New Roman"/>
          <w:sz w:val="44"/>
          <w:szCs w:val="44"/>
        </w:rPr>
      </w:pPr>
      <w:r>
        <w:rPr>
          <w:rFonts w:hint="eastAsia" w:ascii="方正小标宋简体" w:hAnsi="Times New Roman" w:eastAsia="方正小标宋简体" w:cs="方正小标宋简体"/>
          <w:sz w:val="44"/>
          <w:szCs w:val="44"/>
        </w:rPr>
        <w:t>转发教育部高等教育司关于开展国家级</w:t>
      </w:r>
    </w:p>
    <w:p>
      <w:pPr>
        <w:snapToGrid w:val="0"/>
        <w:jc w:val="center"/>
        <w:rPr>
          <w:rFonts w:ascii="方正小标宋简体" w:hAnsi="Times New Roman" w:eastAsia="方正小标宋简体" w:cs="Times New Roman"/>
          <w:sz w:val="44"/>
          <w:szCs w:val="44"/>
        </w:rPr>
      </w:pPr>
      <w:r>
        <w:rPr>
          <w:rFonts w:hint="eastAsia" w:ascii="方正小标宋简体" w:hAnsi="Times New Roman" w:eastAsia="方正小标宋简体" w:cs="方正小标宋简体"/>
          <w:sz w:val="44"/>
          <w:szCs w:val="44"/>
        </w:rPr>
        <w:t>虚拟仿真实验教学中心建设工作的通知</w:t>
      </w:r>
    </w:p>
    <w:p>
      <w:pPr>
        <w:rPr>
          <w:rFonts w:ascii="Times New Roman" w:hAnsi="Times New Roman" w:eastAsia="仿宋_GB2312" w:cs="Times New Roman"/>
          <w:sz w:val="32"/>
          <w:szCs w:val="32"/>
        </w:rPr>
      </w:pPr>
    </w:p>
    <w:p>
      <w:pPr>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各省属普通本科高等学校：</w:t>
      </w:r>
    </w:p>
    <w:p>
      <w:pPr>
        <w:ind w:firstLine="66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现将教育部高等教育司《关于开展国家级虚拟仿真实验教学中心建设工作的通知》（教高司函〔</w:t>
      </w:r>
      <w:r>
        <w:rPr>
          <w:rFonts w:ascii="Times New Roman" w:hAnsi="Times New Roman" w:eastAsia="仿宋_GB2312" w:cs="Times New Roman"/>
          <w:sz w:val="32"/>
          <w:szCs w:val="32"/>
        </w:rPr>
        <w:t>2013</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94</w:t>
      </w:r>
      <w:r>
        <w:rPr>
          <w:rFonts w:hint="eastAsia" w:ascii="Times New Roman" w:hAnsi="Times New Roman" w:eastAsia="仿宋_GB2312" w:cs="仿宋_GB2312"/>
          <w:sz w:val="32"/>
          <w:szCs w:val="32"/>
        </w:rPr>
        <w:t>号，详见教育部高等教育司网页）转发给你们，并就做好我省推荐申报工作的有关事项通知如下：</w:t>
      </w:r>
    </w:p>
    <w:p>
      <w:pPr>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各高校要高度重视虚拟仿真实验教学中心的建设工作，根据本校实际与特色优势，以现有专业实验教学条件设施为基础，大力加强信息化实验教学资源建设，加快推进现代信息技术与专业实验教学的深度融合，不断深化高校实验教学改革与创新，加强大学生创新精神和实践能力的培养。在学校先期建设的基础上，我厅将适时启动省级虚拟仿真实践教学中心建设，并从中择优推荐申报国家级虚拟仿真实验教学中心。</w:t>
      </w:r>
    </w:p>
    <w:p>
      <w:pPr>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各高校今年申报的国家级虚拟仿真实验教学中心必须是国家级实验教学示范中心或已经通过验收的省级实践教学示范中心（含基础课示范实验室），建设任务与内容符合国家级虚拟仿真实验教学中心的遴选要求。由于申报名额少，请各高校务必推荐建设基础好，竞争实力强的中心进行申报，每校限申报</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个项目。我厅将组织专家依据教育部文件要求对申报项目进行遴选并择优推荐。</w:t>
      </w:r>
    </w:p>
    <w:p>
      <w:pPr>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．各高校务必按照教育部文件要求认真填报《国家级虚拟仿真实验教学中心申请书》（一式六份，同时制成</w:t>
      </w:r>
      <w:r>
        <w:rPr>
          <w:rFonts w:ascii="Times New Roman" w:hAnsi="Times New Roman" w:eastAsia="仿宋_GB2312" w:cs="Times New Roman"/>
          <w:sz w:val="32"/>
          <w:szCs w:val="32"/>
        </w:rPr>
        <w:t>OFFICE 2003</w:t>
      </w:r>
      <w:r>
        <w:rPr>
          <w:rFonts w:hint="eastAsia" w:ascii="Times New Roman" w:hAnsi="Times New Roman" w:eastAsia="仿宋_GB2312" w:cs="仿宋_GB2312"/>
          <w:sz w:val="32"/>
          <w:szCs w:val="32"/>
        </w:rPr>
        <w:t>版本的</w:t>
      </w:r>
      <w:r>
        <w:rPr>
          <w:rFonts w:ascii="Times New Roman" w:hAnsi="Times New Roman" w:eastAsia="仿宋_GB2312" w:cs="Times New Roman"/>
          <w:sz w:val="32"/>
          <w:szCs w:val="32"/>
        </w:rPr>
        <w:t>WORD</w:t>
      </w:r>
      <w:r>
        <w:rPr>
          <w:rFonts w:hint="eastAsia" w:ascii="Times New Roman" w:hAnsi="Times New Roman" w:eastAsia="仿宋_GB2312" w:cs="仿宋_GB2312"/>
          <w:sz w:val="32"/>
          <w:szCs w:val="32"/>
        </w:rPr>
        <w:t>文件</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个）和《推荐情况汇总表》（</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份），同时制作相关视频材料光盘（</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张）并提供信息管理平台访问途径。上述纸质材料和视频光盘请务必于</w:t>
      </w:r>
      <w:r>
        <w:rPr>
          <w:rFonts w:ascii="Times New Roman" w:hAnsi="Times New Roman" w:eastAsia="仿宋_GB2312" w:cs="Times New Roman"/>
          <w:b/>
          <w:bCs/>
          <w:color w:val="0000FF"/>
          <w:sz w:val="32"/>
          <w:szCs w:val="32"/>
        </w:rPr>
        <w:t>10</w:t>
      </w:r>
      <w:r>
        <w:rPr>
          <w:rFonts w:hint="eastAsia" w:ascii="Times New Roman" w:hAnsi="Times New Roman" w:eastAsia="仿宋_GB2312" w:cs="仿宋_GB2312"/>
          <w:b/>
          <w:bCs/>
          <w:color w:val="0000FF"/>
          <w:sz w:val="32"/>
          <w:szCs w:val="32"/>
        </w:rPr>
        <w:t>月</w:t>
      </w:r>
      <w:r>
        <w:rPr>
          <w:rFonts w:ascii="Times New Roman" w:hAnsi="Times New Roman" w:eastAsia="仿宋_GB2312" w:cs="Times New Roman"/>
          <w:b/>
          <w:bCs/>
          <w:color w:val="0000FF"/>
          <w:sz w:val="32"/>
          <w:szCs w:val="32"/>
        </w:rPr>
        <w:t>10</w:t>
      </w:r>
      <w:r>
        <w:rPr>
          <w:rFonts w:hint="eastAsia" w:ascii="Times New Roman" w:hAnsi="Times New Roman" w:eastAsia="仿宋_GB2312" w:cs="仿宋_GB2312"/>
          <w:b/>
          <w:bCs/>
          <w:color w:val="0000FF"/>
          <w:sz w:val="32"/>
          <w:szCs w:val="32"/>
        </w:rPr>
        <w:t>日前报送我厅高等教育处</w:t>
      </w:r>
      <w:r>
        <w:rPr>
          <w:rFonts w:hint="eastAsia" w:ascii="Times New Roman" w:hAnsi="Times New Roman" w:eastAsia="仿宋_GB2312" w:cs="仿宋_GB2312"/>
          <w:sz w:val="32"/>
          <w:szCs w:val="32"/>
        </w:rPr>
        <w:t>，其中《申请书》和《汇总表》电子稿发至指定邮箱（</w:t>
      </w:r>
      <w:r>
        <w:rPr>
          <w:rFonts w:ascii="Times New Roman" w:hAnsi="Times New Roman" w:eastAsia="仿宋_GB2312" w:cs="Times New Roman"/>
          <w:sz w:val="32"/>
          <w:szCs w:val="32"/>
        </w:rPr>
        <w:t>gjc_hnedu@126.com</w:t>
      </w:r>
      <w:r>
        <w:rPr>
          <w:rFonts w:hint="eastAsia" w:ascii="Times New Roman" w:hAnsi="Times New Roman" w:eastAsia="仿宋_GB2312" w:cs="仿宋_GB2312"/>
          <w:sz w:val="32"/>
          <w:szCs w:val="32"/>
        </w:rPr>
        <w:t>），逾期不候。</w:t>
      </w:r>
    </w:p>
    <w:p>
      <w:pPr>
        <w:ind w:firstLine="66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联系人：彭玮婧。联系电话：</w:t>
      </w:r>
      <w:r>
        <w:rPr>
          <w:rFonts w:ascii="Times New Roman" w:hAnsi="Times New Roman" w:eastAsia="仿宋_GB2312" w:cs="Times New Roman"/>
          <w:sz w:val="32"/>
          <w:szCs w:val="32"/>
        </w:rPr>
        <w:t>0731-84720851</w:t>
      </w:r>
      <w:r>
        <w:rPr>
          <w:rFonts w:hint="eastAsia" w:ascii="Times New Roman" w:hAnsi="Times New Roman" w:eastAsia="仿宋_GB2312" w:cs="仿宋_GB2312"/>
          <w:sz w:val="32"/>
          <w:szCs w:val="32"/>
        </w:rPr>
        <w:t>。</w:t>
      </w:r>
      <w:bookmarkStart w:id="0" w:name="_GoBack"/>
      <w:bookmarkEnd w:id="0"/>
    </w:p>
    <w:p>
      <w:pPr>
        <w:ind w:firstLine="660"/>
        <w:rPr>
          <w:rFonts w:ascii="Times New Roman" w:hAnsi="Times New Roman" w:eastAsia="仿宋_GB2312" w:cs="Times New Roman"/>
          <w:sz w:val="32"/>
          <w:szCs w:val="32"/>
        </w:rPr>
      </w:pPr>
    </w:p>
    <w:p>
      <w:pPr>
        <w:ind w:firstLine="660"/>
        <w:rPr>
          <w:rFonts w:ascii="Times New Roman" w:hAnsi="Times New Roman" w:eastAsia="仿宋_GB2312" w:cs="Times New Roman"/>
          <w:sz w:val="32"/>
          <w:szCs w:val="32"/>
        </w:rPr>
      </w:pPr>
    </w:p>
    <w:p>
      <w:pPr>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hint="eastAsia" w:ascii="Times New Roman" w:hAnsi="Times New Roman" w:eastAsia="仿宋_GB2312" w:cs="仿宋_GB2312"/>
          <w:sz w:val="32"/>
          <w:szCs w:val="32"/>
        </w:rPr>
        <w:t>湖南省教育厅</w:t>
      </w:r>
    </w:p>
    <w:p>
      <w:pPr>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2013</w:t>
      </w:r>
      <w:r>
        <w:rPr>
          <w:rFonts w:hint="eastAsia" w:ascii="Times New Roman" w:hAnsi="Times New Roman" w:eastAsia="仿宋_GB2312" w:cs="仿宋_GB2312"/>
          <w:sz w:val="32"/>
          <w:szCs w:val="32"/>
        </w:rPr>
        <w:t>年</w:t>
      </w:r>
      <w:r>
        <w:rPr>
          <w:rFonts w:ascii="Times New Roman" w:hAnsi="Times New Roman" w:eastAsia="仿宋_GB2312" w:cs="Times New Roman"/>
          <w:sz w:val="32"/>
          <w:szCs w:val="32"/>
        </w:rPr>
        <w:t>8</w:t>
      </w:r>
      <w:r>
        <w:rPr>
          <w:rFonts w:hint="eastAsia" w:ascii="Times New Roman" w:hAnsi="Times New Roman" w:eastAsia="仿宋_GB2312" w:cs="仿宋_GB2312"/>
          <w:sz w:val="32"/>
          <w:szCs w:val="32"/>
        </w:rPr>
        <w:t>月</w:t>
      </w:r>
      <w:r>
        <w:rPr>
          <w:rFonts w:ascii="Times New Roman" w:hAnsi="Times New Roman" w:eastAsia="仿宋_GB2312" w:cs="Times New Roman"/>
          <w:sz w:val="32"/>
          <w:szCs w:val="32"/>
        </w:rPr>
        <w:t>28</w:t>
      </w:r>
      <w:r>
        <w:rPr>
          <w:rFonts w:hint="eastAsia" w:ascii="Times New Roman" w:hAnsi="Times New Roman" w:eastAsia="仿宋_GB2312" w:cs="仿宋_GB2312"/>
          <w:sz w:val="32"/>
          <w:szCs w:val="32"/>
        </w:rPr>
        <w:t>日</w:t>
      </w:r>
    </w:p>
    <w:sectPr>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altName w:val="Lucida Sans"/>
    <w:panose1 w:val="020F0502020204030204"/>
    <w:charset w:val="00"/>
    <w:family w:val="auto"/>
    <w:pitch w:val="default"/>
    <w:sig w:usb0="A00002EF" w:usb1="4000207B" w:usb2="00000000" w:usb3="00000000" w:csb0="0000009F" w:csb1="00000000"/>
  </w:font>
  <w:font w:name="仿宋_GB2312">
    <w:panose1 w:val="02010609030101010101"/>
    <w:charset w:val="86"/>
    <w:family w:val="auto"/>
    <w:pitch w:val="default"/>
    <w:sig w:usb0="00000001" w:usb1="080E0000" w:usb2="00000000" w:usb3="00000000" w:csb0="00040000" w:csb1="00000000"/>
  </w:font>
  <w:font w:name="方正小标宋简体">
    <w:altName w:val="宋体"/>
    <w:panose1 w:val="03000509000000000000"/>
    <w:charset w:val="86"/>
    <w:family w:val="auto"/>
    <w:pitch w:val="default"/>
    <w:sig w:usb0="00000001" w:usb1="080E0000" w:usb2="00000010" w:usb3="00000000" w:csb0="00040000" w:csb1="00000000"/>
  </w:font>
  <w:font w:name="Cambria">
    <w:altName w:val="Palatino Linotype"/>
    <w:panose1 w:val="02040503050406030204"/>
    <w:charset w:val="00"/>
    <w:family w:val="auto"/>
    <w:pitch w:val="default"/>
    <w:sig w:usb0="A00002EF" w:usb1="4000004B" w:usb2="00000000" w:usb3="00000000" w:csb0="0000009F" w:csb1="00000000"/>
  </w:font>
  <w:font w:name="Lucida Sans">
    <w:panose1 w:val="020B06020305040202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style w:type="paragraph" w:default="1" w:styleId="1">
    <w:name w:val="Normal"/>
    <w:pPr>
      <w:widowControl w:val="0"/>
      <w:jc w:val="both"/>
    </w:pPr>
    <w:rPr>
      <w:rFonts w:ascii="Calibri" w:hAnsi="Calibri" w:eastAsia="宋体" w:cs="Calibri"/>
      <w:kern w:val="2"/>
      <w:sz w:val="21"/>
      <w:szCs w:val="21"/>
      <w:lang w:val="en-US" w:eastAsia="zh-CN" w:bidi="ar-SA"/>
    </w:rPr>
  </w:style>
  <w:style w:type="character" w:default="1" w:styleId="2">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2</Pages>
  <Words>120</Words>
  <Characters>690</Characters>
  <Lines>0</Lines>
  <Paragraphs>0</Paragraphs>
  <TotalTime>0</TotalTime>
  <ScaleCrop>false</ScaleCrop>
  <LinksUpToDate>false</LinksUpToDate>
  <CharactersWithSpaces>0</CharactersWithSpaces>
  <Application>WPS Office 个人版_9.1.0.4249</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2013-08-26T08:54:00Z</dcterms:created>
  <dc:creator>zhangping</dc:creator>
  <cp:lastModifiedBy>Administrator</cp:lastModifiedBy>
  <cp:lastPrinted>2013-08-29T00:46:00Z</cp:lastPrinted>
  <dcterms:modified xsi:type="dcterms:W3CDTF">2013-08-31T03:08:31Z</dcterms:modified>
  <dc:title>湘教通〔2013〕392号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