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hint="eastAsia" w:ascii="方正大标宋简体" w:eastAsia="方正大标宋简体" w:cs="FZDBSJW--GB1-0"/>
          <w:color w:val="FF0000"/>
          <w:w w:val="75"/>
          <w:kern w:val="0"/>
          <w:sz w:val="84"/>
          <w:szCs w:val="82"/>
        </w:rPr>
      </w:pPr>
      <w:r>
        <w:rPr>
          <w:rFonts w:hint="eastAsia" w:ascii="方正大标宋简体" w:eastAsia="方正大标宋简体" w:cs="FZDBSJW--GB1-0"/>
          <w:color w:val="FF0000"/>
          <w:w w:val="75"/>
          <w:kern w:val="0"/>
          <w:sz w:val="84"/>
          <w:szCs w:val="82"/>
        </w:rPr>
        <w:t>吉首大学实验室与设备管理中心</w:t>
      </w:r>
    </w:p>
    <w:p>
      <w:pPr>
        <w:jc w:val="center"/>
        <w:rPr>
          <w:rFonts w:hint="eastAsia" w:ascii="方正大标宋简体" w:eastAsia="方正大标宋简体" w:cs="FZDBSJW--GB1-0"/>
          <w:color w:val="FF0000"/>
          <w:w w:val="76"/>
          <w:kern w:val="0"/>
          <w:sz w:val="32"/>
          <w:szCs w:val="32"/>
        </w:rPr>
      </w:pPr>
    </w:p>
    <w:p>
      <w:pPr>
        <w:jc w:val="center"/>
        <w:rPr>
          <w:rFonts w:hint="eastAsia" w:ascii="方正大标宋简体" w:eastAsia="方正大标宋简体"/>
          <w:w w:val="76"/>
          <w:sz w:val="32"/>
          <w:szCs w:val="32"/>
        </w:rPr>
      </w:pPr>
      <w:r>
        <w:rPr>
          <w:rFonts w:hint="eastAsia" w:ascii="方正大标宋简体" w:eastAsia="方正大标宋简体"/>
          <w:sz w:val="32"/>
          <w:szCs w:val="32"/>
        </w:rPr>
        <mc:AlternateContent>
          <mc:Choice Requires="wps">
            <w:drawing>
              <wp:anchor distT="0" distB="0" distL="114300" distR="114300" simplePos="0" relativeHeight="251659264" behindDoc="0" locked="0" layoutInCell="1" allowOverlap="1">
                <wp:simplePos x="0" y="0"/>
                <wp:positionH relativeFrom="column">
                  <wp:posOffset>18415</wp:posOffset>
                </wp:positionH>
                <wp:positionV relativeFrom="paragraph">
                  <wp:posOffset>369570</wp:posOffset>
                </wp:positionV>
                <wp:extent cx="5615940" cy="0"/>
                <wp:effectExtent l="0" t="13970" r="3810" b="24130"/>
                <wp:wrapNone/>
                <wp:docPr id="2" name="直线 2"/>
                <wp:cNvGraphicFramePr/>
                <a:graphic xmlns:a="http://schemas.openxmlformats.org/drawingml/2006/main">
                  <a:graphicData uri="http://schemas.microsoft.com/office/word/2010/wordprocessingShape">
                    <wps:wsp>
                      <wps:cNvCnPr/>
                      <wps:spPr>
                        <a:xfrm>
                          <a:off x="0" y="0"/>
                          <a:ext cx="5615940" cy="0"/>
                        </a:xfrm>
                        <a:prstGeom prst="line">
                          <a:avLst/>
                        </a:prstGeom>
                        <a:ln w="28575" cap="flat" cmpd="sng">
                          <a:solidFill>
                            <a:srgbClr val="FF0000"/>
                          </a:solidFill>
                          <a:prstDash val="solid"/>
                          <a:headEnd type="none" w="med" len="med"/>
                          <a:tailEnd type="none" w="med" len="med"/>
                        </a:ln>
                      </wps:spPr>
                      <wps:bodyPr upright="1"/>
                    </wps:wsp>
                  </a:graphicData>
                </a:graphic>
              </wp:anchor>
            </w:drawing>
          </mc:Choice>
          <mc:Fallback>
            <w:pict>
              <v:line id="直线 2" o:spid="_x0000_s1026" o:spt="20" style="position:absolute;left:0pt;margin-left:1.45pt;margin-top:29.1pt;height:0pt;width:442.2pt;z-index:251659264;mso-width-relative:page;mso-height-relative:page;" filled="f" stroked="t" coordsize="21600,21600" o:gfxdata="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&#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BGUEhTUAAAABwEAAA8AAAAAAAAAAQAgAAAAIgAAAGRy&#10;cy9kb3ducmV2LnhtbFBLAQIUABQAAAAIAIdO4kCSPqqK0AEAAI4DAAAOAAAAAAAAAAEAIAAAACMB&#10;AABkcnMvZTJvRG9jLnhtbFBLBQYAAAAABgAGAFkBAABlBQAAAAA=&#10;">
                <v:fill on="f" focussize="0,0"/>
                <v:stroke weight="2.25pt" color="#FF0000" joinstyle="round"/>
                <v:imagedata o:title=""/>
                <o:lock v:ext="edit" aspectratio="f"/>
              </v:line>
            </w:pict>
          </mc:Fallback>
        </mc:AlternateContent>
      </w:r>
      <w:r>
        <w:rPr>
          <w:rFonts w:hint="eastAsia" w:ascii="方正大标宋简体" w:eastAsia="方正大标宋简体"/>
          <w:w w:val="76"/>
          <w:sz w:val="32"/>
          <w:szCs w:val="32"/>
        </w:rPr>
        <w:t>实设通[201</w:t>
      </w:r>
      <w:r>
        <w:rPr>
          <w:rFonts w:hint="eastAsia" w:ascii="方正大标宋简体" w:eastAsia="方正大标宋简体"/>
          <w:w w:val="76"/>
          <w:sz w:val="32"/>
          <w:szCs w:val="32"/>
          <w:lang w:val="en-US" w:eastAsia="zh-CN"/>
        </w:rPr>
        <w:t>6</w:t>
      </w:r>
      <w:r>
        <w:rPr>
          <w:rFonts w:hint="eastAsia" w:ascii="方正大标宋简体" w:eastAsia="方正大标宋简体"/>
          <w:w w:val="76"/>
          <w:sz w:val="32"/>
          <w:szCs w:val="32"/>
        </w:rPr>
        <w:t xml:space="preserve">] </w:t>
      </w:r>
      <w:r>
        <w:rPr>
          <w:rFonts w:hint="eastAsia" w:ascii="方正大标宋简体" w:eastAsia="方正大标宋简体"/>
          <w:w w:val="76"/>
          <w:sz w:val="32"/>
          <w:szCs w:val="32"/>
          <w:lang w:val="en-US" w:eastAsia="zh-CN"/>
        </w:rPr>
        <w:t>17</w:t>
      </w:r>
      <w:r>
        <w:rPr>
          <w:rFonts w:hint="eastAsia" w:ascii="方正大标宋简体" w:eastAsia="方正大标宋简体"/>
          <w:w w:val="76"/>
          <w:sz w:val="32"/>
          <w:szCs w:val="32"/>
        </w:rPr>
        <w:t>号</w:t>
      </w:r>
    </w:p>
    <w:p>
      <w:pPr>
        <w:jc w:val="center"/>
        <w:rPr>
          <w:rFonts w:hint="eastAsia" w:ascii="宋体" w:hAnsi="宋体"/>
          <w:b/>
          <w:sz w:val="32"/>
          <w:szCs w:val="32"/>
        </w:rPr>
      </w:pPr>
      <w:bookmarkStart w:id="0" w:name="OLE_LINK1"/>
      <w:bookmarkStart w:id="1" w:name="OLE_LINK2"/>
      <w:r>
        <w:rPr>
          <w:rStyle w:val="6"/>
          <w:rFonts w:hint="eastAsia" w:ascii="宋体" w:hAnsi="宋体" w:cs="宋体"/>
          <w:color w:val="000000"/>
          <w:sz w:val="36"/>
          <w:szCs w:val="36"/>
        </w:rPr>
        <w:t>关于做好暑假实验室安全管理的通知</w:t>
      </w:r>
      <w:bookmarkEnd w:id="0"/>
    </w:p>
    <w:bookmarkEnd w:id="1"/>
    <w:p>
      <w:pPr>
        <w:spacing w:line="580" w:lineRule="exact"/>
        <w:rPr>
          <w:rFonts w:hint="eastAsia" w:ascii="仿宋" w:hAnsi="仿宋" w:eastAsia="仿宋"/>
          <w:sz w:val="28"/>
          <w:szCs w:val="28"/>
        </w:rPr>
      </w:pPr>
      <w:bookmarkStart w:id="2" w:name="OLE_LINK3"/>
      <w:r>
        <w:rPr>
          <w:rFonts w:hint="eastAsia" w:ascii="仿宋" w:hAnsi="仿宋" w:eastAsia="仿宋"/>
          <w:sz w:val="28"/>
          <w:szCs w:val="28"/>
        </w:rPr>
        <w:t>各单位实验室（中心）：</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sz w:val="28"/>
          <w:szCs w:val="28"/>
        </w:rPr>
      </w:pPr>
      <w:r>
        <w:rPr>
          <w:rFonts w:hint="eastAsia" w:ascii="仿宋" w:hAnsi="仿宋" w:eastAsia="仿宋"/>
          <w:sz w:val="28"/>
          <w:szCs w:val="28"/>
        </w:rPr>
        <w:t>根据《吉首大学实验室安全管理办法》(吉大发[2016]2号)相关要求，为了切实做好暑假实验室安全的各项工作，确保实验室的安全运行和实验教学的正常开展，现将有关事宜通知如下：</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sz w:val="28"/>
          <w:szCs w:val="28"/>
        </w:rPr>
      </w:pPr>
      <w:r>
        <w:rPr>
          <w:rFonts w:hint="eastAsia" w:ascii="仿宋" w:hAnsi="仿宋" w:eastAsia="仿宋"/>
          <w:sz w:val="28"/>
          <w:szCs w:val="28"/>
        </w:rPr>
        <w:t>一、遵循“谁使用，谁负责；谁主管，谁负责”与齐抓共管相结合的原则，树立“安全第一，预防为主”的意识，切实加强对化学危险品、易燃易爆物品、有毒有害物品、高压容器、放射源与射线装置以及高温电器设备的安全管理工作，加强安全教育，督促检查管理制度落实情况，确保安全防范措施到位，将安全责任落实到人。</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sz w:val="28"/>
          <w:szCs w:val="28"/>
        </w:rPr>
      </w:pPr>
      <w:r>
        <w:rPr>
          <w:rFonts w:hint="eastAsia" w:ascii="仿宋" w:hAnsi="仿宋" w:eastAsia="仿宋"/>
          <w:sz w:val="28"/>
          <w:szCs w:val="28"/>
        </w:rPr>
        <w:t>二、各实验室要结合实际情况，</w:t>
      </w:r>
      <w:r>
        <w:rPr>
          <w:rFonts w:hint="eastAsia" w:ascii="仿宋" w:hAnsi="仿宋" w:eastAsia="仿宋"/>
          <w:sz w:val="28"/>
          <w:szCs w:val="28"/>
          <w:lang w:eastAsia="zh-CN"/>
        </w:rPr>
        <w:t>安排</w:t>
      </w:r>
      <w:r>
        <w:rPr>
          <w:rFonts w:hint="eastAsia" w:ascii="仿宋" w:hAnsi="仿宋" w:eastAsia="仿宋"/>
          <w:sz w:val="28"/>
          <w:szCs w:val="28"/>
        </w:rPr>
        <w:t>假期值班表，落实值班制度，并填写《吉首大学2016年暑假实验室值班安排表》（见附件1）明确值班职责，增强值班人员的责任意识，做好值班记录，发现情况，及时报告，妥善处置，定期进行安全巡查，</w:t>
      </w:r>
      <w:r>
        <w:rPr>
          <w:rFonts w:hint="eastAsia" w:ascii="仿宋" w:hAnsi="仿宋" w:eastAsia="仿宋"/>
          <w:sz w:val="28"/>
          <w:szCs w:val="28"/>
          <w:lang w:eastAsia="zh-CN"/>
        </w:rPr>
        <w:t>认</w:t>
      </w:r>
      <w:r>
        <w:rPr>
          <w:rFonts w:hint="eastAsia" w:ascii="仿宋" w:hAnsi="仿宋" w:eastAsia="仿宋"/>
          <w:sz w:val="28"/>
          <w:szCs w:val="28"/>
        </w:rPr>
        <w:t>真做好实验室安全管理工作。</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sz w:val="28"/>
          <w:szCs w:val="28"/>
        </w:rPr>
      </w:pPr>
      <w:r>
        <w:rPr>
          <w:rFonts w:hint="eastAsia" w:ascii="仿宋" w:hAnsi="仿宋" w:eastAsia="仿宋"/>
          <w:sz w:val="28"/>
          <w:szCs w:val="28"/>
        </w:rPr>
        <w:t>三、实验室使用的各类化学试剂，要做到合理配置，物尽其用，对残留及未用完的化学药品必须妥善保管，废弃物要严格按照学校相关规定进行处置。</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sz w:val="28"/>
          <w:szCs w:val="28"/>
        </w:rPr>
      </w:pPr>
      <w:r>
        <w:rPr>
          <w:rFonts w:hint="eastAsia" w:ascii="仿宋" w:hAnsi="仿宋" w:eastAsia="仿宋"/>
          <w:sz w:val="28"/>
          <w:szCs w:val="28"/>
        </w:rPr>
        <w:t>四、暑假不再使用的实验室，各单位要组织专人检查后，将仪器设备电源、水源及通风设施关闭，不涉及实验研究的实验室要贴上封条；暑假仍需使用的，实验室（中心）主任要安排好实验室使用和管理的各项工作，确定安全责任人填写《吉首大学实验室(寒、暑)假使用登记表》（见附件2），报学院主管院长批准并向实验室与设备管理中心备案，对使用人员做好安全防范教育工作，在使用过程中要做好实验室仪器设备使用记录和实验室安全记录。对于需连续通电运行的设备及装置，必须要有专人守护，不得擅离职守。 暑假期间实验室一旦发生安全事故，要根据预案采取积极有效的应急措施，及时处理，防止事故扩大蔓延，同时报告保卫处和实验室与设备管理中心。</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sz w:val="28"/>
          <w:szCs w:val="28"/>
        </w:rPr>
      </w:pPr>
      <w:r>
        <w:rPr>
          <w:rFonts w:hint="eastAsia" w:ascii="仿宋" w:hAnsi="仿宋" w:eastAsia="仿宋"/>
          <w:sz w:val="28"/>
          <w:szCs w:val="28"/>
        </w:rPr>
        <w:t>五、放假前，各单位要组织专项检查，对所属实验室的水、电线路以及防水、防盗、防汛、防潮、防爆、防污染等设施进行检查；将配电柜、剧毒品保险柜、危险品仓库、放射源、计算机房和易爆、易燃、有毒气源、废液收集存放点等列为重点检查项目进行认真检查。对实验室进行彻底清扫，保持实验室干净、整洁，消除火种，关闭水源、电源、气源，关锁好门窗等，同时安排专人在实验室综合管理系统中填报好《吉首大学实验室安全卫生检查情况汇总表》（请访问http://210.43.64.99，在实验室管理—实验室安全与卫生检查栏目下填报）。在检查中如发现安全隐患应立即整改。</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sz w:val="28"/>
          <w:szCs w:val="28"/>
        </w:rPr>
      </w:pPr>
      <w:r>
        <w:rPr>
          <w:rFonts w:hint="eastAsia" w:ascii="仿宋" w:hAnsi="仿宋" w:eastAsia="仿宋"/>
          <w:sz w:val="28"/>
          <w:szCs w:val="28"/>
        </w:rPr>
        <w:t xml:space="preserve">  六、实验室与设备管理中心也将会同学校相关职能部门放假前对各学院实验室安全管理工作进行督察，具体时间另行通知。</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sz w:val="28"/>
          <w:szCs w:val="28"/>
        </w:rPr>
      </w:pPr>
      <w:r>
        <w:rPr>
          <w:rFonts w:hint="eastAsia" w:ascii="仿宋" w:hAnsi="仿宋" w:eastAsia="仿宋"/>
          <w:sz w:val="28"/>
          <w:szCs w:val="28"/>
        </w:rPr>
        <w:t>同时，请各学院，将填写好的《吉首大学2016年暑假实验室值班安排表》、《吉首大学实验室(寒、暑)假使用登记表》以及《吉首大学实验室安全卫生检查情况汇总表》，经学院审核无误后加盖学院公章，于2016年7月8日前报送吉首校区交至实验室与设备管理中心实验室与实验教学管理科（创业园307），张家界校区各单位交至实验室与设备管理中心张家界校区管理办公室。联系人：贺建武；电话：8565008；张家界校区材料统一报送到朱炯波老师处，电话：13974422729。</w:t>
      </w:r>
    </w:p>
    <w:p>
      <w:pPr>
        <w:spacing w:line="580" w:lineRule="exact"/>
        <w:rPr>
          <w:rFonts w:hint="eastAsia" w:ascii="仿宋" w:hAnsi="仿宋" w:eastAsia="仿宋"/>
          <w:sz w:val="28"/>
          <w:szCs w:val="28"/>
        </w:rPr>
      </w:pPr>
    </w:p>
    <w:p>
      <w:pPr>
        <w:spacing w:line="580" w:lineRule="exact"/>
        <w:rPr>
          <w:rFonts w:hint="eastAsia" w:ascii="仿宋" w:hAnsi="仿宋" w:eastAsia="仿宋"/>
          <w:sz w:val="28"/>
          <w:szCs w:val="28"/>
        </w:rPr>
      </w:pPr>
    </w:p>
    <w:p>
      <w:pPr>
        <w:spacing w:line="580" w:lineRule="exact"/>
        <w:rPr>
          <w:rFonts w:hint="eastAsia" w:ascii="仿宋" w:hAnsi="仿宋" w:eastAsia="仿宋"/>
          <w:sz w:val="28"/>
          <w:szCs w:val="28"/>
        </w:rPr>
      </w:pPr>
      <w:r>
        <w:rPr>
          <w:rFonts w:hint="eastAsia" w:ascii="仿宋" w:hAnsi="仿宋" w:eastAsia="仿宋"/>
          <w:sz w:val="28"/>
          <w:szCs w:val="28"/>
        </w:rPr>
        <w:t>附件1  吉首大学2016年暑假实验室值班安排表</w:t>
      </w:r>
    </w:p>
    <w:p>
      <w:pPr>
        <w:spacing w:line="580" w:lineRule="exact"/>
        <w:rPr>
          <w:rFonts w:hint="eastAsia" w:ascii="仿宋" w:hAnsi="仿宋" w:eastAsia="仿宋"/>
          <w:sz w:val="28"/>
          <w:szCs w:val="28"/>
        </w:rPr>
      </w:pPr>
      <w:r>
        <w:rPr>
          <w:rFonts w:hint="eastAsia" w:ascii="仿宋" w:hAnsi="仿宋" w:eastAsia="仿宋"/>
          <w:sz w:val="28"/>
          <w:szCs w:val="28"/>
        </w:rPr>
        <w:t>附件2  吉首大学实验室(寒、暑)假使用登记表</w:t>
      </w:r>
      <w:bookmarkEnd w:id="2"/>
      <w:r>
        <w:rPr>
          <w:rFonts w:hint="eastAsia" w:ascii="仿宋" w:hAnsi="仿宋" w:eastAsia="仿宋"/>
          <w:sz w:val="28"/>
          <w:szCs w:val="28"/>
        </w:rPr>
        <w:t xml:space="preserve">      </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right="0" w:rightChars="0"/>
        <w:jc w:val="left"/>
        <w:textAlignment w:val="auto"/>
        <w:outlineLvl w:val="9"/>
        <w:rPr>
          <w:rFonts w:hint="eastAsia" w:ascii="仿宋" w:hAnsi="仿宋" w:eastAsia="仿宋"/>
          <w:color w:val="000000"/>
          <w:sz w:val="32"/>
          <w:szCs w:val="32"/>
        </w:rPr>
      </w:pPr>
      <w:r>
        <w:rPr>
          <w:rFonts w:hint="eastAsia" w:ascii="仿宋_GB2312" w:eastAsia="仿宋_GB2312"/>
          <w:w w:val="76"/>
          <w:sz w:val="32"/>
          <w:szCs w:val="32"/>
        </w:rPr>
        <w:drawing>
          <wp:anchor distT="0" distB="0" distL="114300" distR="114300" simplePos="0" relativeHeight="251660288" behindDoc="1" locked="0" layoutInCell="1" allowOverlap="1">
            <wp:simplePos x="0" y="0"/>
            <wp:positionH relativeFrom="column">
              <wp:posOffset>3431540</wp:posOffset>
            </wp:positionH>
            <wp:positionV relativeFrom="paragraph">
              <wp:posOffset>351155</wp:posOffset>
            </wp:positionV>
            <wp:extent cx="1591310" cy="1611630"/>
            <wp:effectExtent l="0" t="0" r="8890" b="7620"/>
            <wp:wrapNone/>
            <wp:docPr id="1" name="图片 3" descr="中心印章"/>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descr="中心印章"/>
                    <pic:cNvPicPr>
                      <a:picLocks noChangeAspect="1"/>
                    </pic:cNvPicPr>
                  </pic:nvPicPr>
                  <pic:blipFill>
                    <a:blip r:embed="rId4"/>
                    <a:stretch>
                      <a:fillRect/>
                    </a:stretch>
                  </pic:blipFill>
                  <pic:spPr>
                    <a:xfrm>
                      <a:off x="0" y="0"/>
                      <a:ext cx="1591310" cy="1611630"/>
                    </a:xfrm>
                    <a:prstGeom prst="rect">
                      <a:avLst/>
                    </a:prstGeom>
                    <a:noFill/>
                    <a:ln w="9525">
                      <a:noFill/>
                      <a:miter/>
                    </a:ln>
                  </pic:spPr>
                </pic:pic>
              </a:graphicData>
            </a:graphic>
          </wp:anchor>
        </w:drawing>
      </w:r>
      <w:r>
        <w:rPr>
          <w:rFonts w:hint="eastAsia" w:ascii="仿宋" w:hAnsi="仿宋" w:eastAsia="仿宋" w:cs="仿宋"/>
          <w:color w:val="000000"/>
          <w:sz w:val="28"/>
          <w:szCs w:val="28"/>
          <w:lang w:val="en-US" w:eastAsia="zh-CN"/>
        </w:rPr>
        <w:t xml:space="preserve">                                                                                                                                                                                                                                                                                        </w:t>
      </w:r>
    </w:p>
    <w:p>
      <w:pPr>
        <w:rPr>
          <w:rFonts w:hint="eastAsia" w:ascii="仿宋" w:hAnsi="仿宋" w:eastAsia="仿宋"/>
          <w:color w:val="000000"/>
          <w:sz w:val="28"/>
          <w:szCs w:val="28"/>
          <w:lang w:val="en-US" w:eastAsia="zh-CN"/>
        </w:rPr>
      </w:pPr>
      <w:r>
        <w:rPr>
          <w:rFonts w:hint="eastAsia" w:ascii="仿宋" w:hAnsi="仿宋" w:eastAsia="仿宋"/>
          <w:color w:val="000000"/>
          <w:sz w:val="28"/>
          <w:szCs w:val="28"/>
          <w:lang w:val="en-US" w:eastAsia="zh-CN"/>
        </w:rPr>
        <w:t xml:space="preserve">                                    </w:t>
      </w:r>
    </w:p>
    <w:p>
      <w:pPr>
        <w:rPr>
          <w:rFonts w:hint="eastAsia" w:ascii="仿宋" w:hAnsi="仿宋" w:eastAsia="仿宋"/>
          <w:color w:val="000000"/>
          <w:sz w:val="28"/>
          <w:szCs w:val="28"/>
        </w:rPr>
      </w:pPr>
      <w:r>
        <w:rPr>
          <w:rFonts w:hint="eastAsia" w:ascii="仿宋" w:hAnsi="仿宋" w:eastAsia="仿宋"/>
          <w:color w:val="000000"/>
          <w:sz w:val="28"/>
          <w:szCs w:val="28"/>
          <w:lang w:val="en-US" w:eastAsia="zh-CN"/>
        </w:rPr>
        <w:t xml:space="preserve">                                      </w:t>
      </w:r>
      <w:bookmarkStart w:id="4" w:name="_GoBack"/>
      <w:bookmarkStart w:id="3" w:name="OLE_LINK4"/>
      <w:r>
        <w:rPr>
          <w:rFonts w:hint="eastAsia" w:ascii="仿宋" w:hAnsi="仿宋" w:eastAsia="仿宋"/>
          <w:color w:val="000000"/>
          <w:sz w:val="28"/>
          <w:szCs w:val="28"/>
        </w:rPr>
        <w:t>实验室与设备管理中心</w:t>
      </w:r>
    </w:p>
    <w:p>
      <w:pPr>
        <w:rPr>
          <w:rFonts w:hint="eastAsia" w:ascii="仿宋" w:hAnsi="仿宋" w:eastAsia="仿宋"/>
          <w:color w:val="000000"/>
          <w:sz w:val="28"/>
          <w:szCs w:val="28"/>
        </w:rPr>
      </w:pPr>
      <w:r>
        <w:rPr>
          <w:rFonts w:hint="eastAsia" w:ascii="仿宋" w:hAnsi="仿宋" w:eastAsia="仿宋"/>
          <w:color w:val="000000"/>
          <w:sz w:val="28"/>
          <w:szCs w:val="28"/>
          <w:lang w:val="en-US" w:eastAsia="zh-CN"/>
        </w:rPr>
        <w:t xml:space="preserve">                                         </w:t>
      </w:r>
      <w:r>
        <w:rPr>
          <w:rFonts w:hint="eastAsia" w:ascii="仿宋" w:hAnsi="仿宋" w:eastAsia="仿宋"/>
          <w:color w:val="000000"/>
          <w:sz w:val="28"/>
          <w:szCs w:val="28"/>
        </w:rPr>
        <w:t>201</w:t>
      </w:r>
      <w:r>
        <w:rPr>
          <w:rFonts w:hint="eastAsia" w:ascii="仿宋" w:hAnsi="仿宋" w:eastAsia="仿宋"/>
          <w:color w:val="000000"/>
          <w:sz w:val="28"/>
          <w:szCs w:val="28"/>
          <w:lang w:val="en-US" w:eastAsia="zh-CN"/>
        </w:rPr>
        <w:t>6</w:t>
      </w:r>
      <w:r>
        <w:rPr>
          <w:rFonts w:hint="eastAsia" w:ascii="仿宋" w:hAnsi="仿宋" w:eastAsia="仿宋"/>
          <w:color w:val="000000"/>
          <w:sz w:val="28"/>
          <w:szCs w:val="28"/>
        </w:rPr>
        <w:t>年</w:t>
      </w:r>
      <w:r>
        <w:rPr>
          <w:rFonts w:hint="eastAsia" w:ascii="仿宋" w:hAnsi="仿宋" w:eastAsia="仿宋"/>
          <w:color w:val="000000"/>
          <w:sz w:val="28"/>
          <w:szCs w:val="28"/>
          <w:lang w:val="en-US" w:eastAsia="zh-CN"/>
        </w:rPr>
        <w:t>7</w:t>
      </w:r>
      <w:r>
        <w:rPr>
          <w:rFonts w:hint="eastAsia" w:ascii="仿宋" w:hAnsi="仿宋" w:eastAsia="仿宋"/>
          <w:color w:val="000000"/>
          <w:sz w:val="28"/>
          <w:szCs w:val="28"/>
        </w:rPr>
        <w:t>月</w:t>
      </w:r>
      <w:r>
        <w:rPr>
          <w:rFonts w:hint="eastAsia" w:ascii="仿宋" w:hAnsi="仿宋" w:eastAsia="仿宋"/>
          <w:color w:val="000000"/>
          <w:sz w:val="28"/>
          <w:szCs w:val="28"/>
          <w:lang w:val="en-US" w:eastAsia="zh-CN"/>
        </w:rPr>
        <w:t>1</w:t>
      </w:r>
      <w:r>
        <w:rPr>
          <w:rFonts w:hint="eastAsia" w:ascii="仿宋" w:hAnsi="仿宋" w:eastAsia="仿宋"/>
          <w:color w:val="000000"/>
          <w:sz w:val="28"/>
          <w:szCs w:val="28"/>
        </w:rPr>
        <w:t>日</w:t>
      </w:r>
      <w:bookmarkEnd w:id="3"/>
    </w:p>
    <w:bookmarkEnd w:id="4"/>
    <w:p>
      <w:pPr>
        <w:spacing w:line="500" w:lineRule="exact"/>
        <w:rPr>
          <w:rFonts w:hint="eastAsia" w:ascii="仿宋" w:hAnsi="仿宋" w:eastAsia="仿宋"/>
          <w:color w:val="000000"/>
          <w:sz w:val="28"/>
          <w:szCs w:val="28"/>
        </w:rPr>
      </w:pPr>
      <w:r>
        <w:rPr>
          <w:rFonts w:hint="eastAsia" w:ascii="仿宋" w:hAnsi="仿宋" w:eastAsia="仿宋"/>
          <w:color w:val="000000"/>
          <w:sz w:val="28"/>
          <w:szCs w:val="28"/>
        </w:rPr>
        <w:tab/>
      </w:r>
      <w:r>
        <w:rPr>
          <w:rFonts w:hint="eastAsia" w:ascii="仿宋" w:hAnsi="仿宋" w:eastAsia="仿宋"/>
          <w:color w:val="000000"/>
          <w:sz w:val="28"/>
          <w:szCs w:val="28"/>
        </w:rPr>
        <w:t xml:space="preserve">                                                                     </w:t>
      </w:r>
    </w:p>
    <w:sectPr>
      <w:pgSz w:w="11906" w:h="16838"/>
      <w:pgMar w:top="1701" w:right="1531" w:bottom="1440" w:left="1531" w:header="851" w:footer="992" w:gutter="0"/>
      <w:cols w:space="720" w:num="1"/>
      <w:docGrid w:type="lines" w:linePitch="60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script"/>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_x000C_.">
    <w:altName w:val="仿宋"/>
    <w:panose1 w:val="00000000000000000000"/>
    <w:charset w:val="86"/>
    <w:family w:val="roman"/>
    <w:pitch w:val="default"/>
    <w:sig w:usb0="00000000" w:usb1="00000000" w:usb2="00000000" w:usb3="00000000" w:csb0="00040000" w:csb1="00000000"/>
  </w:font>
  <w:font w:name="方正大标宋简体">
    <w:altName w:val="宋体"/>
    <w:panose1 w:val="03000509000000000000"/>
    <w:charset w:val="86"/>
    <w:family w:val="script"/>
    <w:pitch w:val="default"/>
    <w:sig w:usb0="00000000" w:usb1="00000000" w:usb2="00000010" w:usb3="00000000" w:csb0="00040000" w:csb1="00000000"/>
  </w:font>
  <w:font w:name="FZDBSJW--GB1-0">
    <w:altName w:val="宋体"/>
    <w:panose1 w:val="00000000000000000000"/>
    <w:charset w:val="86"/>
    <w:family w:val="auto"/>
    <w:pitch w:val="default"/>
    <w:sig w:usb0="00000000" w:usb1="00000000" w:usb2="00000010" w:usb3="00000000" w:csb0="00040000" w:csb1="00000000"/>
  </w:font>
  <w:font w:name="黑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华文彩云">
    <w:panose1 w:val="02010800040101010101"/>
    <w:charset w:val="86"/>
    <w:family w:val="auto"/>
    <w:pitch w:val="default"/>
    <w:sig w:usb0="00000001" w:usb1="080F0000" w:usb2="00000000" w:usb3="00000000" w:csb0="00040000" w:csb1="00000000"/>
  </w:font>
  <w:font w:name="仿宋_GB2312">
    <w:altName w:val="仿宋"/>
    <w:panose1 w:val="00000000000000000000"/>
    <w:charset w:val="86"/>
    <w:family w:val="roma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roman"/>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script"/>
    <w:pitch w:val="default"/>
    <w:sig w:usb0="80000287" w:usb1="280F3C52" w:usb2="00000016" w:usb3="00000000" w:csb0="0004001F" w:csb1="00000000"/>
  </w:font>
  <w:font w:name="方正小标宋简体">
    <w:altName w:val="Arial Unicode MS"/>
    <w:panose1 w:val="02010601030101010101"/>
    <w:charset w:val="86"/>
    <w:family w:val="auto"/>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hyphenationZone w:val="360"/>
  <w:drawingGridHorizontalSpacing w:val="105"/>
  <w:drawingGridVerticalSpacing w:val="303"/>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3378A"/>
    <w:rsid w:val="00055825"/>
    <w:rsid w:val="00173103"/>
    <w:rsid w:val="00193959"/>
    <w:rsid w:val="00194CD4"/>
    <w:rsid w:val="001B021B"/>
    <w:rsid w:val="002B34B7"/>
    <w:rsid w:val="002E2321"/>
    <w:rsid w:val="002E3CF8"/>
    <w:rsid w:val="00322489"/>
    <w:rsid w:val="00322DCB"/>
    <w:rsid w:val="003926B6"/>
    <w:rsid w:val="003C5BB1"/>
    <w:rsid w:val="003D3254"/>
    <w:rsid w:val="0042018B"/>
    <w:rsid w:val="004D68E1"/>
    <w:rsid w:val="004F6B8E"/>
    <w:rsid w:val="005467F7"/>
    <w:rsid w:val="00547572"/>
    <w:rsid w:val="00662657"/>
    <w:rsid w:val="006857C8"/>
    <w:rsid w:val="0070498C"/>
    <w:rsid w:val="0072628E"/>
    <w:rsid w:val="00750A21"/>
    <w:rsid w:val="007574B9"/>
    <w:rsid w:val="00763BC5"/>
    <w:rsid w:val="00770DFC"/>
    <w:rsid w:val="00773F26"/>
    <w:rsid w:val="007E2DD1"/>
    <w:rsid w:val="007F58B7"/>
    <w:rsid w:val="00802DBC"/>
    <w:rsid w:val="00847575"/>
    <w:rsid w:val="0094386E"/>
    <w:rsid w:val="009B3115"/>
    <w:rsid w:val="009C55AC"/>
    <w:rsid w:val="00A15F7F"/>
    <w:rsid w:val="00A2108D"/>
    <w:rsid w:val="00A44590"/>
    <w:rsid w:val="00A529EC"/>
    <w:rsid w:val="00AB255A"/>
    <w:rsid w:val="00AE3A70"/>
    <w:rsid w:val="00B46468"/>
    <w:rsid w:val="00B561B6"/>
    <w:rsid w:val="00BE5D00"/>
    <w:rsid w:val="00C2186F"/>
    <w:rsid w:val="00C26950"/>
    <w:rsid w:val="00C63975"/>
    <w:rsid w:val="00D0679D"/>
    <w:rsid w:val="00D371F2"/>
    <w:rsid w:val="00D91732"/>
    <w:rsid w:val="00D9677A"/>
    <w:rsid w:val="00DC3D60"/>
    <w:rsid w:val="00DE5AC9"/>
    <w:rsid w:val="00E53BCB"/>
    <w:rsid w:val="00E64D03"/>
    <w:rsid w:val="00EC1619"/>
    <w:rsid w:val="00EE4E5C"/>
    <w:rsid w:val="00EF353E"/>
    <w:rsid w:val="00F249C4"/>
    <w:rsid w:val="00F50A64"/>
    <w:rsid w:val="00FB4772"/>
    <w:rsid w:val="00FC3104"/>
    <w:rsid w:val="00FE0623"/>
    <w:rsid w:val="00FE0A7E"/>
    <w:rsid w:val="03EB2ED5"/>
    <w:rsid w:val="056640E5"/>
    <w:rsid w:val="0893064A"/>
    <w:rsid w:val="0E474E63"/>
    <w:rsid w:val="128F4FAF"/>
    <w:rsid w:val="132A2BD1"/>
    <w:rsid w:val="13F33668"/>
    <w:rsid w:val="16665D74"/>
    <w:rsid w:val="1770200D"/>
    <w:rsid w:val="250146F0"/>
    <w:rsid w:val="2BD72C73"/>
    <w:rsid w:val="2CF9419F"/>
    <w:rsid w:val="2DBF58BA"/>
    <w:rsid w:val="2F15518A"/>
    <w:rsid w:val="3B605EBB"/>
    <w:rsid w:val="3C107A11"/>
    <w:rsid w:val="3D3136B8"/>
    <w:rsid w:val="3D5558F1"/>
    <w:rsid w:val="3E4711C8"/>
    <w:rsid w:val="3E636910"/>
    <w:rsid w:val="40CB6B08"/>
    <w:rsid w:val="42CB05A4"/>
    <w:rsid w:val="433137CC"/>
    <w:rsid w:val="46D70C19"/>
    <w:rsid w:val="48B25C3C"/>
    <w:rsid w:val="4C166DBC"/>
    <w:rsid w:val="509C6811"/>
    <w:rsid w:val="53245D80"/>
    <w:rsid w:val="53C4592D"/>
    <w:rsid w:val="57DD5B63"/>
    <w:rsid w:val="5E0B5C0C"/>
    <w:rsid w:val="616A40C1"/>
    <w:rsid w:val="62F055E2"/>
    <w:rsid w:val="687F2FB9"/>
    <w:rsid w:val="6AC42C7A"/>
    <w:rsid w:val="6D385F71"/>
    <w:rsid w:val="743F5E2C"/>
    <w:rsid w:val="74DC4E56"/>
    <w:rsid w:val="76FD4826"/>
    <w:rsid w:val="7A9F55AE"/>
    <w:rsid w:val="7B1E1FF2"/>
    <w:rsid w:val="7DD87F33"/>
    <w:rsid w:val="7F5B685C"/>
  </w:rsid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qFormat/>
    <w:uiPriority w:val="0"/>
  </w:style>
  <w:style w:type="table" w:default="1" w:styleId="8">
    <w:name w:val="Normal Table"/>
    <w:semiHidden/>
    <w:qFormat/>
    <w:uiPriority w:val="0"/>
    <w:tblPr>
      <w:tblLayout w:type="fixed"/>
      <w:tblCellMar>
        <w:top w:w="0" w:type="dxa"/>
        <w:left w:w="108" w:type="dxa"/>
        <w:bottom w:w="0" w:type="dxa"/>
        <w:right w:w="108" w:type="dxa"/>
      </w:tblCellMar>
    </w:tblPr>
    <w:tcPr>
      <w:textDirection w:val="lrTb"/>
    </w:tcPr>
  </w:style>
  <w:style w:type="paragraph" w:styleId="2">
    <w:name w:val="Body Text Indent 2"/>
    <w:basedOn w:val="1"/>
    <w:next w:val="1"/>
    <w:link w:val="11"/>
    <w:qFormat/>
    <w:uiPriority w:val="0"/>
    <w:pPr>
      <w:widowControl/>
      <w:ind w:firstLine="604"/>
    </w:pPr>
    <w:rPr>
      <w:rFonts w:ascii="仿宋_GB2312" w:eastAsia="仿宋_GB2312"/>
      <w:color w:val="000000"/>
      <w:sz w:val="32"/>
      <w:szCs w:val="20"/>
    </w:r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0"/>
    <w:rPr>
      <w:b/>
    </w:rPr>
  </w:style>
  <w:style w:type="character" w:styleId="7">
    <w:name w:val="Hyperlink"/>
    <w:qFormat/>
    <w:uiPriority w:val="0"/>
    <w:rPr>
      <w:color w:val="0000FF"/>
      <w:u w:val="single"/>
    </w:rPr>
  </w:style>
  <w:style w:type="paragraph" w:customStyle="1" w:styleId="9">
    <w:name w:val="Default"/>
    <w:unhideWhenUsed/>
    <w:qFormat/>
    <w:uiPriority w:val="99"/>
    <w:pPr>
      <w:widowControl w:val="0"/>
      <w:autoSpaceDE w:val="0"/>
      <w:autoSpaceDN w:val="0"/>
      <w:adjustRightInd w:val="0"/>
      <w:spacing w:beforeLines="0" w:afterLines="0"/>
    </w:pPr>
    <w:rPr>
      <w:rFonts w:hint="eastAsia" w:ascii="仿宋_x000C_." w:hAnsi="仿宋_x000C_." w:eastAsia="仿宋_x000C_." w:cs="Times New Roman"/>
      <w:color w:val="000000"/>
      <w:sz w:val="24"/>
    </w:rPr>
  </w:style>
  <w:style w:type="character" w:customStyle="1" w:styleId="10">
    <w:name w:val="页眉 Char"/>
    <w:link w:val="4"/>
    <w:qFormat/>
    <w:uiPriority w:val="0"/>
    <w:rPr>
      <w:kern w:val="2"/>
      <w:sz w:val="18"/>
      <w:szCs w:val="18"/>
    </w:rPr>
  </w:style>
  <w:style w:type="character" w:customStyle="1" w:styleId="11">
    <w:name w:val="正文文本缩进 2 Char"/>
    <w:link w:val="2"/>
    <w:qFormat/>
    <w:uiPriority w:val="0"/>
    <w:rPr>
      <w:rFonts w:ascii="仿宋_GB2312" w:eastAsia="仿宋_GB2312"/>
      <w:color w:val="000000"/>
      <w:kern w:val="2"/>
      <w:sz w:val="32"/>
    </w:rPr>
  </w:style>
  <w:style w:type="character" w:customStyle="1" w:styleId="12">
    <w:name w:val="页脚 Char"/>
    <w:link w:val="3"/>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Company>WwW.YlmF.CoM</Company>
  <Pages>2</Pages>
  <Words>115</Words>
  <Characters>659</Characters>
  <Lines>5</Lines>
  <Paragraphs>1</Paragraphs>
  <ScaleCrop>false</ScaleCrop>
  <LinksUpToDate>false</LinksUpToDate>
  <CharactersWithSpaces>773</CharactersWithSpaces>
  <Application>WPS Office_10.1.0.5777_F1E327BC-269C-435d-A152-05C5408002CA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2015-07-18T00:32:00Z</dcterms:created>
  <dc:creator>雨林木风</dc:creator>
  <cp:lastModifiedBy>xlc</cp:lastModifiedBy>
  <dcterms:modified xsi:type="dcterms:W3CDTF">2016-07-01T09:37:46Z</dcterms:modified>
  <dc:title>吉首大学实验室与设备管理中心</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2052-10.1.0.5777</vt:lpwstr>
  </property>
</Properties>
</file>